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FF88" w14:textId="529043BD" w:rsidR="00B873AF" w:rsidRPr="000E25E0" w:rsidRDefault="00000000" w:rsidP="00BF72B2">
      <w:pPr>
        <w:pStyle w:val="Abstractheading"/>
      </w:pPr>
      <w:r>
        <w:rPr>
          <w:rFonts w:hint="eastAsia"/>
        </w:rPr>
        <w:t xml:space="preserve">A </w:t>
      </w:r>
      <w:r>
        <w:rPr>
          <w:rFonts w:eastAsia="宋体" w:hint="eastAsia"/>
          <w:lang w:val="en-US" w:eastAsia="zh-CN"/>
        </w:rPr>
        <w:t>r</w:t>
      </w:r>
      <w:proofErr w:type="spellStart"/>
      <w:r>
        <w:rPr>
          <w:rFonts w:hint="eastAsia"/>
        </w:rPr>
        <w:t>andomized</w:t>
      </w:r>
      <w:proofErr w:type="spellEnd"/>
      <w:r>
        <w:rPr>
          <w:rFonts w:hint="eastAsia"/>
        </w:rPr>
        <w:t xml:space="preserve"> </w:t>
      </w:r>
      <w:r>
        <w:rPr>
          <w:lang w:val="en-US"/>
        </w:rPr>
        <w:t>c</w:t>
      </w:r>
      <w:proofErr w:type="spellStart"/>
      <w:r>
        <w:rPr>
          <w:rFonts w:hint="eastAsia"/>
        </w:rPr>
        <w:t>ontrolled</w:t>
      </w:r>
      <w:proofErr w:type="spellEnd"/>
      <w:r>
        <w:rPr>
          <w:rFonts w:hint="eastAsia"/>
        </w:rPr>
        <w:t xml:space="preserve"> </w:t>
      </w:r>
      <w:r>
        <w:rPr>
          <w:lang w:val="en-US"/>
        </w:rPr>
        <w:t>t</w:t>
      </w:r>
      <w:r>
        <w:rPr>
          <w:rFonts w:hint="eastAsia"/>
        </w:rPr>
        <w:t xml:space="preserve">rial of Cross-Modal Art Therapy System </w:t>
      </w:r>
      <w:proofErr w:type="spellStart"/>
      <w:r>
        <w:rPr>
          <w:lang w:val="en-US"/>
        </w:rPr>
        <w:t>i</w:t>
      </w:r>
      <w:r>
        <w:rPr>
          <w:rFonts w:hint="eastAsia"/>
        </w:rPr>
        <w:t>ntegrated</w:t>
      </w:r>
      <w:proofErr w:type="spellEnd"/>
      <w:r>
        <w:rPr>
          <w:rFonts w:hint="eastAsia"/>
        </w:rPr>
        <w:t xml:space="preserve"> with </w:t>
      </w:r>
      <w:r>
        <w:rPr>
          <w:lang w:val="en-US"/>
        </w:rPr>
        <w:t>c</w:t>
      </w:r>
      <w:proofErr w:type="spellStart"/>
      <w:r>
        <w:rPr>
          <w:rFonts w:hint="eastAsia"/>
        </w:rPr>
        <w:t>ognitive</w:t>
      </w:r>
      <w:proofErr w:type="spellEnd"/>
      <w:r>
        <w:rPr>
          <w:rFonts w:hint="eastAsia"/>
        </w:rPr>
        <w:t xml:space="preserve"> </w:t>
      </w:r>
      <w:r>
        <w:rPr>
          <w:lang w:val="en-US"/>
        </w:rPr>
        <w:t>b</w:t>
      </w:r>
      <w:proofErr w:type="spellStart"/>
      <w:r>
        <w:rPr>
          <w:rFonts w:hint="eastAsia"/>
        </w:rPr>
        <w:t>ehavioral</w:t>
      </w:r>
      <w:proofErr w:type="spellEnd"/>
      <w:r>
        <w:rPr>
          <w:rFonts w:hint="eastAsia"/>
        </w:rPr>
        <w:t xml:space="preserve"> </w:t>
      </w:r>
      <w:r>
        <w:rPr>
          <w:lang w:val="en-US"/>
        </w:rPr>
        <w:t>t</w:t>
      </w:r>
      <w:proofErr w:type="spellStart"/>
      <w:r>
        <w:rPr>
          <w:rFonts w:hint="eastAsia"/>
        </w:rPr>
        <w:t>herapy</w:t>
      </w:r>
      <w:proofErr w:type="spellEnd"/>
      <w:r>
        <w:rPr>
          <w:rFonts w:hint="eastAsia"/>
        </w:rPr>
        <w:t xml:space="preserve"> for </w:t>
      </w:r>
      <w:proofErr w:type="spellStart"/>
      <w:r>
        <w:rPr>
          <w:lang w:val="en-US"/>
        </w:rPr>
        <w:t>i</w:t>
      </w:r>
      <w:r>
        <w:rPr>
          <w:rFonts w:hint="eastAsia"/>
        </w:rPr>
        <w:t>nsomnia</w:t>
      </w:r>
      <w:proofErr w:type="spellEnd"/>
      <w:r>
        <w:rPr>
          <w:rFonts w:hint="eastAsia"/>
        </w:rPr>
        <w:t xml:space="preserve">: Neurophysiological </w:t>
      </w:r>
      <w:r>
        <w:rPr>
          <w:lang w:val="en-US"/>
        </w:rPr>
        <w:t>m</w:t>
      </w:r>
      <w:proofErr w:type="spellStart"/>
      <w:r>
        <w:rPr>
          <w:rFonts w:hint="eastAsia"/>
        </w:rPr>
        <w:t>echanisms</w:t>
      </w:r>
      <w:proofErr w:type="spellEnd"/>
      <w:r>
        <w:rPr>
          <w:rFonts w:hint="eastAsia"/>
        </w:rPr>
        <w:t xml:space="preserve"> and </w:t>
      </w:r>
      <w:r>
        <w:rPr>
          <w:lang w:val="en-US"/>
        </w:rPr>
        <w:t>c</w:t>
      </w:r>
      <w:proofErr w:type="spellStart"/>
      <w:r>
        <w:rPr>
          <w:rFonts w:hint="eastAsia"/>
        </w:rPr>
        <w:t>linical</w:t>
      </w:r>
      <w:proofErr w:type="spellEnd"/>
      <w:r>
        <w:rPr>
          <w:rFonts w:hint="eastAsia"/>
        </w:rPr>
        <w:t xml:space="preserve"> </w:t>
      </w:r>
      <w:r>
        <w:rPr>
          <w:lang w:val="en-US"/>
        </w:rPr>
        <w:t>e</w:t>
      </w:r>
      <w:proofErr w:type="spellStart"/>
      <w:r>
        <w:rPr>
          <w:rFonts w:hint="eastAsia"/>
        </w:rPr>
        <w:t>fficacy</w:t>
      </w:r>
      <w:proofErr w:type="spellEnd"/>
    </w:p>
    <w:p w14:paraId="48D2D999" w14:textId="19DE00DD" w:rsidR="00B873AF" w:rsidRPr="000E25E0" w:rsidRDefault="000E25E0" w:rsidP="000E25E0">
      <w:pPr>
        <w:pStyle w:val="Authorname"/>
      </w:pPr>
      <w:r>
        <w:t>B.N. Author</w:t>
      </w:r>
      <w:r w:rsidDel="000E25E0">
        <w:rPr>
          <w:rFonts w:eastAsia="宋体" w:hint="eastAsia"/>
          <w:lang w:val="en-US" w:eastAsia="zh-CN"/>
        </w:rPr>
        <w:t xml:space="preserve"> </w:t>
      </w:r>
      <w:r>
        <w:rPr>
          <w:vertAlign w:val="superscript"/>
        </w:rPr>
        <w:t>1,</w:t>
      </w:r>
      <w:r>
        <w:rPr>
          <w:rStyle w:val="af4"/>
        </w:rPr>
        <w:footnoteReference w:id="1"/>
      </w:r>
      <w:r>
        <w:t>, B.N. Author</w:t>
      </w:r>
      <w:r>
        <w:rPr>
          <w:vertAlign w:val="superscript"/>
        </w:rPr>
        <w:t>2</w:t>
      </w:r>
      <w:r>
        <w:t xml:space="preserve"> and C.N. Author</w:t>
      </w:r>
      <w:r>
        <w:rPr>
          <w:vertAlign w:val="superscript"/>
        </w:rPr>
        <w:t>3</w:t>
      </w:r>
    </w:p>
    <w:p w14:paraId="5BF2B093" w14:textId="2F00D893" w:rsidR="00B873AF" w:rsidRDefault="00000000">
      <w:pPr>
        <w:pStyle w:val="Address"/>
      </w:pPr>
      <w:r>
        <w:rPr>
          <w:vertAlign w:val="superscript"/>
        </w:rPr>
        <w:t>1</w:t>
      </w:r>
      <w:r>
        <w:t xml:space="preserve">1st </w:t>
      </w:r>
      <w:r w:rsidR="002811D9" w:rsidRPr="002811D9">
        <w:t xml:space="preserve">dept. name of organization (of Aff.) </w:t>
      </w:r>
      <w:proofErr w:type="gramStart"/>
      <w:r w:rsidR="002811D9" w:rsidRPr="002811D9">
        <w:t>,City</w:t>
      </w:r>
      <w:proofErr w:type="gramEnd"/>
      <w:r w:rsidR="002811D9" w:rsidRPr="002811D9">
        <w:t>, Country</w:t>
      </w:r>
    </w:p>
    <w:p w14:paraId="086CEA1F" w14:textId="77777777" w:rsidR="00B873AF" w:rsidRDefault="00000000">
      <w:pPr>
        <w:pStyle w:val="Address"/>
      </w:pPr>
      <w:r>
        <w:rPr>
          <w:vertAlign w:val="superscript"/>
        </w:rPr>
        <w:t>2</w:t>
      </w:r>
      <w:r>
        <w:t>2nd Author’s affiliation, Author’s address</w:t>
      </w:r>
    </w:p>
    <w:p w14:paraId="555E5E42" w14:textId="63047E1D" w:rsidR="00B873AF" w:rsidRDefault="00000000">
      <w:pPr>
        <w:pStyle w:val="Address"/>
      </w:pPr>
      <w:r>
        <w:rPr>
          <w:vertAlign w:val="superscript"/>
        </w:rPr>
        <w:t>3</w:t>
      </w:r>
      <w:r>
        <w:t>3rd Author’s affiliation, Author’s address</w:t>
      </w:r>
    </w:p>
    <w:p w14:paraId="28D7C522" w14:textId="523E6D1A" w:rsidR="00B873AF" w:rsidRPr="00BF72B2" w:rsidRDefault="00000000" w:rsidP="00BF72B2">
      <w:pPr>
        <w:pStyle w:val="Abstractheading"/>
        <w:rPr>
          <w:rFonts w:eastAsiaTheme="minorEastAsia" w:hint="eastAsia"/>
          <w:lang w:eastAsia="zh-CN"/>
        </w:rPr>
      </w:pPr>
      <w:r>
        <w:t>Abstract</w:t>
      </w:r>
    </w:p>
    <w:p w14:paraId="70C9A576" w14:textId="156563EB" w:rsidR="003152F6" w:rsidRPr="00BF72B2" w:rsidRDefault="002811D9" w:rsidP="00BF72B2">
      <w:pPr>
        <w:pStyle w:val="abstracttext"/>
      </w:pPr>
      <w:r w:rsidRPr="002811D9">
        <w:t xml:space="preserve">This paper explores the application of artificial intelligence (AI) technology in the field of artistic creation and its profound impact on the cultural industry. AI technology, by simulating human thinking and emotions, has driven the intelligence, interactivity, and </w:t>
      </w:r>
      <w:proofErr w:type="spellStart"/>
      <w:r w:rsidRPr="002811D9">
        <w:t>dataization</w:t>
      </w:r>
      <w:proofErr w:type="spellEnd"/>
      <w:r w:rsidRPr="002811D9">
        <w:t xml:space="preserve"> of artistic expression. Computational creativity, as a branch of AI, has shown great potential in food innovation and artistic creation. The integration of AI with art education enhances students' creativity, while the development of AI-assisted writing technology can be traced back to the early 20th century. The application of AI in art design, such as the use of genetic algorithms in music composition and Generative Adversarial Networks (GAN) in digital art, demonstrates the important role of AI technology in artistic creation.</w:t>
      </w:r>
      <w:r w:rsidR="00C33A72" w:rsidRPr="00BF72B2">
        <w:tab/>
      </w:r>
      <w:r w:rsidR="00C33A72" w:rsidRPr="00BF72B2">
        <w:tab/>
      </w:r>
    </w:p>
    <w:p w14:paraId="17938816" w14:textId="7AC50CF0" w:rsidR="00B873AF" w:rsidRPr="00BF72B2" w:rsidRDefault="000E25E0" w:rsidP="00BF72B2">
      <w:pPr>
        <w:pStyle w:val="abstracttext"/>
        <w:rPr>
          <w:rFonts w:eastAsiaTheme="minorEastAsia"/>
        </w:rPr>
      </w:pPr>
      <w:r w:rsidRPr="00BF72B2">
        <w:tab/>
      </w:r>
      <w:r w:rsidR="003152F6" w:rsidRPr="00BF72B2">
        <w:tab/>
      </w:r>
    </w:p>
    <w:p w14:paraId="11D46335" w14:textId="77777777" w:rsidR="00BF72B2" w:rsidRPr="00BF72B2" w:rsidRDefault="00BF72B2" w:rsidP="00BF72B2">
      <w:pPr>
        <w:rPr>
          <w:rFonts w:eastAsiaTheme="minorEastAsia"/>
        </w:rPr>
      </w:pPr>
    </w:p>
    <w:p w14:paraId="11D86440" w14:textId="157105C7" w:rsidR="00B873AF" w:rsidRDefault="00000000" w:rsidP="003152F6">
      <w:pPr>
        <w:pStyle w:val="Abstractheading"/>
        <w:rPr>
          <w:rFonts w:eastAsia="宋体"/>
          <w:lang w:val="en-US" w:eastAsia="zh-CN"/>
        </w:rPr>
      </w:pPr>
      <w:r>
        <w:t>Keywords:</w:t>
      </w:r>
      <w:r>
        <w:rPr>
          <w:rFonts w:eastAsia="宋体" w:hint="eastAsia"/>
          <w:lang w:val="en-US" w:eastAsia="zh-CN"/>
        </w:rPr>
        <w:t xml:space="preserve"> Insomnia Disorder, Cross-Modal Art Therapy, Cognitive Behavioral Therapy for Insomnia (CBT-I), System Design, </w:t>
      </w:r>
      <w:proofErr w:type="gramStart"/>
      <w:r>
        <w:rPr>
          <w:rFonts w:eastAsia="宋体" w:hint="eastAsia"/>
          <w:lang w:val="en-US" w:eastAsia="zh-CN"/>
        </w:rPr>
        <w:t>Electroencephalography  (</w:t>
      </w:r>
      <w:proofErr w:type="gramEnd"/>
      <w:r>
        <w:rPr>
          <w:rFonts w:eastAsia="宋体" w:hint="eastAsia"/>
          <w:lang w:val="en-US" w:eastAsia="zh-CN"/>
        </w:rPr>
        <w:t>EEG), Heart Rate Variability (HRV).</w:t>
      </w:r>
    </w:p>
    <w:p w14:paraId="358A9DD4" w14:textId="77777777" w:rsidR="00B873AF" w:rsidRDefault="00000000">
      <w:pPr>
        <w:ind w:left="227" w:right="227"/>
        <w:rPr>
          <w:sz w:val="18"/>
          <w:szCs w:val="18"/>
        </w:rPr>
      </w:pPr>
      <w:r>
        <w:rPr>
          <w:sz w:val="18"/>
          <w:szCs w:val="18"/>
        </w:rPr>
        <w:t>Received on DD MM YYYY, accepted on DD MM YYYY, published on DD MM YYYY</w:t>
      </w:r>
    </w:p>
    <w:p w14:paraId="21D598CC" w14:textId="77777777" w:rsidR="00B873AF" w:rsidRDefault="00B873AF">
      <w:pPr>
        <w:ind w:left="227" w:right="227"/>
        <w:rPr>
          <w:sz w:val="18"/>
          <w:szCs w:val="18"/>
        </w:rPr>
      </w:pPr>
    </w:p>
    <w:p w14:paraId="1A53883A" w14:textId="77777777" w:rsidR="00B873AF" w:rsidRDefault="00000000">
      <w:pPr>
        <w:ind w:left="227" w:right="227"/>
        <w:jc w:val="both"/>
        <w:rPr>
          <w:sz w:val="18"/>
          <w:szCs w:val="18"/>
        </w:rPr>
      </w:pPr>
      <w:r>
        <w:rPr>
          <w:sz w:val="18"/>
          <w:szCs w:val="18"/>
        </w:rPr>
        <w:t xml:space="preserve">Copyright © YYYY Author </w:t>
      </w:r>
      <w:r>
        <w:rPr>
          <w:i/>
          <w:sz w:val="18"/>
          <w:szCs w:val="18"/>
        </w:rPr>
        <w:t>et al.</w:t>
      </w:r>
      <w:r>
        <w:rPr>
          <w:sz w:val="18"/>
          <w:szCs w:val="18"/>
        </w:rPr>
        <w:t xml:space="preserve">, licensed to EAI. This is an open access article distributed under the terms of the </w:t>
      </w:r>
      <w:hyperlink r:id="rId9" w:history="1">
        <w:r w:rsidR="00B873AF">
          <w:rPr>
            <w:rStyle w:val="af2"/>
            <w:sz w:val="18"/>
            <w:szCs w:val="18"/>
          </w:rPr>
          <w:t>CC BY-NC-SA 4.0</w:t>
        </w:r>
      </w:hyperlink>
      <w:r>
        <w:rPr>
          <w:sz w:val="18"/>
          <w:szCs w:val="18"/>
        </w:rPr>
        <w:t>, which permits copying, redistributing, remixing, transformation, and building upon the material in any medium so long as the original work is properly cited.</w:t>
      </w:r>
    </w:p>
    <w:p w14:paraId="119DE2CE" w14:textId="77777777" w:rsidR="00B873AF" w:rsidRDefault="00B873AF">
      <w:pPr>
        <w:ind w:left="227" w:right="227"/>
        <w:rPr>
          <w:sz w:val="18"/>
          <w:szCs w:val="18"/>
        </w:rPr>
      </w:pPr>
    </w:p>
    <w:p w14:paraId="7112A21E" w14:textId="77777777" w:rsidR="00B873AF" w:rsidRDefault="00000000">
      <w:pPr>
        <w:ind w:left="227" w:right="227"/>
        <w:rPr>
          <w:sz w:val="18"/>
          <w:szCs w:val="18"/>
        </w:rPr>
      </w:pPr>
      <w:proofErr w:type="spellStart"/>
      <w:r>
        <w:rPr>
          <w:sz w:val="18"/>
          <w:szCs w:val="18"/>
        </w:rPr>
        <w:t>doi</w:t>
      </w:r>
      <w:proofErr w:type="spellEnd"/>
      <w:r>
        <w:rPr>
          <w:sz w:val="18"/>
          <w:szCs w:val="18"/>
        </w:rPr>
        <w:t>: 10.4108/_______________</w:t>
      </w:r>
    </w:p>
    <w:p w14:paraId="72E25C52" w14:textId="77777777" w:rsidR="00B873AF" w:rsidRDefault="00B873AF">
      <w:pPr>
        <w:ind w:left="227" w:right="227"/>
        <w:rPr>
          <w:sz w:val="18"/>
          <w:szCs w:val="18"/>
        </w:rPr>
      </w:pPr>
    </w:p>
    <w:p w14:paraId="70FCA6B4" w14:textId="77777777" w:rsidR="00B873AF" w:rsidRDefault="00B873AF">
      <w:pPr>
        <w:ind w:right="227"/>
        <w:sectPr w:rsidR="00B873AF" w:rsidSect="00BA0475">
          <w:headerReference w:type="even" r:id="rId10"/>
          <w:headerReference w:type="default" r:id="rId11"/>
          <w:footerReference w:type="even" r:id="rId12"/>
          <w:footerReference w:type="default" r:id="rId13"/>
          <w:headerReference w:type="first" r:id="rId14"/>
          <w:footerReference w:type="first" r:id="rId15"/>
          <w:footnotePr>
            <w:pos w:val="beneathText"/>
            <w:numFmt w:val="chicago"/>
          </w:footnotePr>
          <w:pgSz w:w="11906" w:h="16838"/>
          <w:pgMar w:top="1644" w:right="907" w:bottom="1531" w:left="907" w:header="1077" w:footer="680" w:gutter="0"/>
          <w:pgNumType w:start="1"/>
          <w:cols w:space="720"/>
          <w:titlePg/>
          <w:docGrid w:linePitch="272"/>
        </w:sectPr>
      </w:pPr>
    </w:p>
    <w:p w14:paraId="27943D68" w14:textId="77777777" w:rsidR="00B873AF" w:rsidRDefault="00000000">
      <w:pPr>
        <w:pStyle w:val="Introduction"/>
      </w:pPr>
      <w:r>
        <w:t>1. Introduction</w:t>
      </w:r>
    </w:p>
    <w:p w14:paraId="7D04758D" w14:textId="77777777" w:rsidR="00B873AF" w:rsidRDefault="00000000">
      <w:pPr>
        <w:pStyle w:val="Bodytextnoindent"/>
      </w:pPr>
      <w:r>
        <w:rPr>
          <w:rFonts w:hint="eastAsia"/>
        </w:rPr>
        <w:t xml:space="preserve">Insomnia disorder (ID) is a widespread public health problem characterized by persistent difficulties in the initiation, duration, consolidation or quality of sleep, leading to significant daytime functional impairment </w:t>
      </w:r>
      <w:r>
        <w:rPr>
          <w:lang w:val="en-US"/>
        </w:rPr>
        <w:t>[</w:t>
      </w:r>
      <w:r>
        <w:rPr>
          <w:rFonts w:hint="eastAsia"/>
        </w:rPr>
        <w:t xml:space="preserve">1]. Globally, the prevalence of chronic insomnia ranges from 10% to 30%, exerting a profound impact on mental health, cognitive function, and the risk of chronic diseases such as hypertension and diabetes </w:t>
      </w:r>
      <w:r>
        <w:rPr>
          <w:lang w:val="en-US"/>
        </w:rPr>
        <w:t>[</w:t>
      </w:r>
      <w:r>
        <w:rPr>
          <w:rFonts w:hint="eastAsia"/>
        </w:rPr>
        <w:t>2]</w:t>
      </w:r>
      <w:r>
        <w:rPr>
          <w:lang w:val="en-US"/>
        </w:rPr>
        <w:t>[</w:t>
      </w:r>
      <w:r>
        <w:rPr>
          <w:rFonts w:hint="eastAsia"/>
        </w:rPr>
        <w:t xml:space="preserve">3]. Although drug treatment can immediately relieve symptoms, it is often associated with side effects and dependence, and cannot solve underlying </w:t>
      </w:r>
      <w:proofErr w:type="spellStart"/>
      <w:r>
        <w:rPr>
          <w:rFonts w:hint="eastAsia"/>
        </w:rPr>
        <w:t>behavioral</w:t>
      </w:r>
      <w:proofErr w:type="spellEnd"/>
      <w:r>
        <w:rPr>
          <w:rFonts w:hint="eastAsia"/>
        </w:rPr>
        <w:t xml:space="preserve"> and cognitive problems </w:t>
      </w:r>
      <w:r>
        <w:rPr>
          <w:lang w:val="en-US"/>
        </w:rPr>
        <w:t>[4</w:t>
      </w:r>
      <w:r>
        <w:rPr>
          <w:rFonts w:hint="eastAsia"/>
        </w:rPr>
        <w:t xml:space="preserve">]. Non-pharmacological treatment is widely regarded as the preferred, safe and </w:t>
      </w:r>
      <w:r>
        <w:rPr>
          <w:rFonts w:hint="eastAsia"/>
        </w:rPr>
        <w:t xml:space="preserve">effective intervention method in the intervention of insomnia disorders, especially suitable for long-term management and reducing the risk of drug side effects </w:t>
      </w:r>
      <w:r>
        <w:rPr>
          <w:lang w:val="en-US"/>
        </w:rPr>
        <w:t>[5</w:t>
      </w:r>
      <w:r>
        <w:rPr>
          <w:rFonts w:hint="eastAsia"/>
        </w:rPr>
        <w:t xml:space="preserve">]. At present, the gold standard for the treatment of chronic ID is insomnia cognitive </w:t>
      </w:r>
      <w:proofErr w:type="spellStart"/>
      <w:r>
        <w:rPr>
          <w:rFonts w:hint="eastAsia"/>
        </w:rPr>
        <w:t>Behavioral</w:t>
      </w:r>
      <w:proofErr w:type="spellEnd"/>
      <w:r>
        <w:rPr>
          <w:rFonts w:hint="eastAsia"/>
        </w:rPr>
        <w:t xml:space="preserve"> Therapy (CBT-I) </w:t>
      </w:r>
      <w:r>
        <w:rPr>
          <w:lang w:val="en-US"/>
        </w:rPr>
        <w:t>[6</w:t>
      </w:r>
      <w:r>
        <w:rPr>
          <w:rFonts w:hint="eastAsia"/>
        </w:rPr>
        <w:t xml:space="preserve">]. CBT-I is a multi-component intervention aimed at addressing the cognitive and </w:t>
      </w:r>
      <w:proofErr w:type="spellStart"/>
      <w:r>
        <w:rPr>
          <w:rFonts w:hint="eastAsia"/>
        </w:rPr>
        <w:t>behavioral</w:t>
      </w:r>
      <w:proofErr w:type="spellEnd"/>
      <w:r>
        <w:rPr>
          <w:rFonts w:hint="eastAsia"/>
        </w:rPr>
        <w:t xml:space="preserve"> factors that lead to the persistence of insomnia. Although traditional CBT-I is highly effective, its efficacy may be limited by patient compliance, the availability of trained therapists, and the lack of direct and real-time physiological regulation </w:t>
      </w:r>
      <w:r>
        <w:rPr>
          <w:lang w:val="en-US"/>
        </w:rPr>
        <w:t>[7</w:t>
      </w:r>
      <w:r>
        <w:rPr>
          <w:rFonts w:hint="eastAsia"/>
        </w:rPr>
        <w:t>].</w:t>
      </w:r>
    </w:p>
    <w:p w14:paraId="2F1E99F6" w14:textId="77777777" w:rsidR="00B873AF" w:rsidRDefault="00000000">
      <w:pPr>
        <w:pStyle w:val="Bodytextnoindent"/>
      </w:pPr>
      <w:r>
        <w:rPr>
          <w:rFonts w:hint="eastAsia"/>
        </w:rPr>
        <w:t xml:space="preserve">Emerging research in the intersection of design, technology and neuroscience indicates that precisely controlled sensory stimulation can directly influence brain state and autonomic nervous system (ANS) activity </w:t>
      </w:r>
      <w:r>
        <w:rPr>
          <w:lang w:val="en-US"/>
        </w:rPr>
        <w:t>[8</w:t>
      </w:r>
      <w:r>
        <w:rPr>
          <w:rFonts w:hint="eastAsia"/>
        </w:rPr>
        <w:t xml:space="preserve">]. Art therapy, especially its cross-modal or interdisciplinary forms, utilizes the </w:t>
      </w:r>
      <w:r>
        <w:rPr>
          <w:rFonts w:hint="eastAsia"/>
        </w:rPr>
        <w:lastRenderedPageBreak/>
        <w:t xml:space="preserve">integration of multiple sensory modes to promote emotional regulation and cognitive reconstruction </w:t>
      </w:r>
      <w:r>
        <w:rPr>
          <w:lang w:val="en-US"/>
        </w:rPr>
        <w:t>[9</w:t>
      </w:r>
      <w:r>
        <w:rPr>
          <w:rFonts w:hint="eastAsia"/>
        </w:rPr>
        <w:t>]. However, the application of traditional art therapy in sleep medicine is often in a single form and lacks objective physiological measurements.</w:t>
      </w:r>
    </w:p>
    <w:p w14:paraId="44053009" w14:textId="77777777" w:rsidR="00B873AF" w:rsidRDefault="00000000">
      <w:pPr>
        <w:pStyle w:val="Bodytextwithindent"/>
      </w:pPr>
      <w:r>
        <w:rPr>
          <w:rFonts w:hint="eastAsia"/>
        </w:rPr>
        <w:t>This study proposes a cross-modal art therapy system (CMATS) that integrates the principles of CBT-I with auditory, visual and tactile stimuli. Five groups of randomized controlled trials proved that Full-CMATS were superior to single-mode and CBT-I alone in improving indicators such as SL, TST, and PSQI. And through EEG and HRV analysis, it also shows good performance in promoting parasympathetic nerve dominance and enhancing sleep-related brainwave power.</w:t>
      </w:r>
      <w:r>
        <w:t xml:space="preserve"> </w:t>
      </w:r>
    </w:p>
    <w:p w14:paraId="16108F8E" w14:textId="77777777" w:rsidR="00B873AF" w:rsidRDefault="00000000">
      <w:pPr>
        <w:pStyle w:val="11"/>
      </w:pPr>
      <w:r>
        <w:t xml:space="preserve">2. </w:t>
      </w:r>
      <w:r>
        <w:rPr>
          <w:rFonts w:hint="eastAsia"/>
        </w:rPr>
        <w:t xml:space="preserve">Relevant </w:t>
      </w:r>
      <w:r>
        <w:rPr>
          <w:rFonts w:eastAsia="宋体" w:hint="eastAsia"/>
          <w:lang w:val="en-US" w:eastAsia="zh-CN"/>
        </w:rPr>
        <w:t>W</w:t>
      </w:r>
      <w:r>
        <w:rPr>
          <w:rFonts w:hint="eastAsia"/>
        </w:rPr>
        <w:t>ork</w:t>
      </w:r>
    </w:p>
    <w:p w14:paraId="145FFC9A" w14:textId="77777777" w:rsidR="00B873AF" w:rsidRDefault="00000000">
      <w:pPr>
        <w:pStyle w:val="Bodytextnoindent"/>
      </w:pPr>
      <w:r>
        <w:rPr>
          <w:rFonts w:hint="eastAsia"/>
        </w:rPr>
        <w:t xml:space="preserve">CBT-I is regarded as the preferred treatment for chronic insomnia, and its core components include stimulus control (SC), sleep restriction (SR), relaxation training (RT), and cognitive therapy (CT) </w:t>
      </w:r>
      <w:r>
        <w:rPr>
          <w:lang w:val="en-US"/>
        </w:rPr>
        <w:t>[10</w:t>
      </w:r>
      <w:r>
        <w:rPr>
          <w:rFonts w:hint="eastAsia"/>
        </w:rPr>
        <w:t xml:space="preserve">]. Although effective, its therapeutic effect depends on whether patients can consistently and strictly abide by the </w:t>
      </w:r>
      <w:proofErr w:type="spellStart"/>
      <w:r>
        <w:rPr>
          <w:rFonts w:hint="eastAsia"/>
        </w:rPr>
        <w:t>behavioral</w:t>
      </w:r>
      <w:proofErr w:type="spellEnd"/>
      <w:r>
        <w:rPr>
          <w:rFonts w:hint="eastAsia"/>
        </w:rPr>
        <w:t xml:space="preserve"> intervention rules. However, for many patients, it is difficult to adhere to these rules for a long time. The recently emerging digital CBT-I (</w:t>
      </w:r>
      <w:proofErr w:type="spellStart"/>
      <w:r>
        <w:rPr>
          <w:rFonts w:hint="eastAsia"/>
        </w:rPr>
        <w:t>dCBT</w:t>
      </w:r>
      <w:proofErr w:type="spellEnd"/>
      <w:r>
        <w:rPr>
          <w:rFonts w:hint="eastAsia"/>
        </w:rPr>
        <w:t xml:space="preserve">-I) has been proven to play a positive role in improving sleep, enhancing mental health and quality of life </w:t>
      </w:r>
      <w:r>
        <w:rPr>
          <w:lang w:val="en-US"/>
        </w:rPr>
        <w:t>[</w:t>
      </w:r>
      <w:r>
        <w:rPr>
          <w:rFonts w:hint="eastAsia"/>
        </w:rPr>
        <w:t>11], but these platforms mainly focus on providing educational and cognitive content, usually physiological intervention components.</w:t>
      </w:r>
    </w:p>
    <w:p w14:paraId="416A5465" w14:textId="77777777" w:rsidR="00B873AF" w:rsidRDefault="00000000">
      <w:pPr>
        <w:pStyle w:val="Bodytextwithindent"/>
      </w:pPr>
      <w:r>
        <w:rPr>
          <w:rFonts w:hint="eastAsia"/>
        </w:rPr>
        <w:t xml:space="preserve">Traditional art therapies, including music therapy, visual art therapy and dance/movement therapy, have been used to treat various psychological and emotional functional disorders </w:t>
      </w:r>
      <w:r>
        <w:rPr>
          <w:lang w:val="en-US"/>
        </w:rPr>
        <w:t>[12</w:t>
      </w:r>
      <w:r>
        <w:rPr>
          <w:rFonts w:hint="eastAsia"/>
        </w:rPr>
        <w:t xml:space="preserve">]. However, these studies usually employ passive listening or simple creative activities. The concept of cross-modal or multi-modal art therapy integrates multiple sensory inputs, providing a richer and more immersive experience </w:t>
      </w:r>
      <w:r>
        <w:rPr>
          <w:lang w:val="en-US"/>
        </w:rPr>
        <w:t>[13</w:t>
      </w:r>
      <w:r>
        <w:rPr>
          <w:rFonts w:hint="eastAsia"/>
        </w:rPr>
        <w:t>]. However, due to the lack of intervention systems and quantifiable physiological indicators, these therapies are difficult to be smoothly transformed into widely recognized evidence-based sleep treatment plans in clinical practice.</w:t>
      </w:r>
    </w:p>
    <w:p w14:paraId="2734863A" w14:textId="77777777" w:rsidR="00B873AF" w:rsidRDefault="00000000">
      <w:pPr>
        <w:pStyle w:val="Bodytextwithindent"/>
      </w:pPr>
      <w:r>
        <w:rPr>
          <w:rFonts w:hint="eastAsia"/>
        </w:rPr>
        <w:t xml:space="preserve">The integration of wearable technology and neuroscience has enabled the development of systems capable of real-time monitoring and regulation of physiological states </w:t>
      </w:r>
      <w:r>
        <w:rPr>
          <w:lang w:val="en-US"/>
        </w:rPr>
        <w:t>[14</w:t>
      </w:r>
      <w:r>
        <w:rPr>
          <w:rFonts w:hint="eastAsia"/>
        </w:rPr>
        <w:t>]</w:t>
      </w:r>
      <w:r>
        <w:rPr>
          <w:lang w:val="en-US"/>
        </w:rPr>
        <w:t>[15</w:t>
      </w:r>
      <w:r>
        <w:rPr>
          <w:rFonts w:hint="eastAsia"/>
        </w:rPr>
        <w:t>]. Electroencephalogram (EEG) remains the gold standard for objective sleep staging. Specific brainwave frequencies (</w:t>
      </w:r>
      <w:proofErr w:type="gramStart"/>
      <w:r>
        <w:rPr>
          <w:rFonts w:hint="eastAsia"/>
        </w:rPr>
        <w:t>δ(</w:t>
      </w:r>
      <w:proofErr w:type="gramEnd"/>
      <w:r>
        <w:rPr>
          <w:rFonts w:hint="eastAsia"/>
        </w:rPr>
        <w:t>0.5-4 Hz</w:t>
      </w:r>
      <w:proofErr w:type="gramStart"/>
      <w:r>
        <w:rPr>
          <w:rFonts w:hint="eastAsia"/>
        </w:rPr>
        <w:t>),θ</w:t>
      </w:r>
      <w:proofErr w:type="gramEnd"/>
      <w:r>
        <w:rPr>
          <w:rFonts w:hint="eastAsia"/>
        </w:rPr>
        <w:t>(4-8 Hz</w:t>
      </w:r>
      <w:proofErr w:type="gramStart"/>
      <w:r>
        <w:rPr>
          <w:rFonts w:hint="eastAsia"/>
        </w:rPr>
        <w:t>),α</w:t>
      </w:r>
      <w:proofErr w:type="gramEnd"/>
      <w:r>
        <w:rPr>
          <w:rFonts w:hint="eastAsia"/>
        </w:rPr>
        <w:t xml:space="preserve">(8-12 Hz)) are directly related to sleep depth and quality </w:t>
      </w:r>
      <w:r>
        <w:rPr>
          <w:lang w:val="en-US"/>
        </w:rPr>
        <w:t>[</w:t>
      </w:r>
      <w:r>
        <w:rPr>
          <w:rFonts w:hint="eastAsia"/>
        </w:rPr>
        <w:t xml:space="preserve">16]. Heart rate variability (HRV) is a non-invasive measurement derived from an electrocardiogram (ECG) that can serve as an indicator for detecting the balance status of ANS. Increased parasympathetic nerve activity is crucial for initiating and maintaining sleep </w:t>
      </w:r>
      <w:r>
        <w:rPr>
          <w:lang w:val="en-US"/>
        </w:rPr>
        <w:t>[</w:t>
      </w:r>
      <w:r>
        <w:rPr>
          <w:rFonts w:hint="eastAsia"/>
        </w:rPr>
        <w:t xml:space="preserve">17]. Recent research has begun to utilize these physiological signals for biofeedback and neurofeedback, where sensory stimuli are transmitted based on the user's physiological state to guide them into a good sleep state </w:t>
      </w:r>
      <w:r>
        <w:rPr>
          <w:lang w:val="en-US"/>
        </w:rPr>
        <w:t>[</w:t>
      </w:r>
      <w:r>
        <w:rPr>
          <w:rFonts w:hint="eastAsia"/>
        </w:rPr>
        <w:t>18</w:t>
      </w:r>
      <w:proofErr w:type="gramStart"/>
      <w:r>
        <w:rPr>
          <w:rFonts w:hint="eastAsia"/>
        </w:rPr>
        <w:t>] .</w:t>
      </w:r>
      <w:proofErr w:type="gramEnd"/>
    </w:p>
    <w:p w14:paraId="250E2940" w14:textId="77777777" w:rsidR="00B873AF" w:rsidRDefault="00000000">
      <w:pPr>
        <w:pStyle w:val="Bodytextwithindent"/>
        <w:ind w:firstLine="0"/>
      </w:pPr>
      <w:r>
        <w:rPr>
          <w:rFonts w:hint="eastAsia"/>
        </w:rPr>
        <w:t xml:space="preserve">Based on the research of the integration of wearable technology and neuroscience, we have designed the CMATS system. Under the framework of following the standardized treatment process of CBT-I, this system provides cross-modal sensory (auditory, visual, and tactile) input to achieve synchronous intervention of psychology and physiology. This method transforms the traditional qualitative intervention that relies on the therapist's experience into a quantifiable, technology-driven and </w:t>
      </w:r>
      <w:proofErr w:type="spellStart"/>
      <w:r>
        <w:rPr>
          <w:rFonts w:hint="eastAsia"/>
        </w:rPr>
        <w:t>neurophysiologically</w:t>
      </w:r>
      <w:proofErr w:type="spellEnd"/>
      <w:r>
        <w:rPr>
          <w:rFonts w:hint="eastAsia"/>
        </w:rPr>
        <w:t xml:space="preserve"> validated insomnia treatment plan.</w:t>
      </w:r>
      <w:r>
        <w:t xml:space="preserve"> </w:t>
      </w:r>
    </w:p>
    <w:p w14:paraId="2B514F59" w14:textId="77777777" w:rsidR="00B873AF" w:rsidRDefault="00000000">
      <w:pPr>
        <w:pStyle w:val="11"/>
      </w:pPr>
      <w:r>
        <w:rPr>
          <w:rFonts w:hint="eastAsia"/>
        </w:rPr>
        <w:t>3. Methodology and System Design</w:t>
      </w:r>
    </w:p>
    <w:p w14:paraId="695DCDAA" w14:textId="77777777" w:rsidR="00B873AF" w:rsidRDefault="00000000">
      <w:pPr>
        <w:pStyle w:val="21"/>
      </w:pPr>
      <w:r>
        <w:rPr>
          <w:rFonts w:hint="eastAsia"/>
        </w:rPr>
        <w:t>3.1 Experimental Plan and Design</w:t>
      </w:r>
    </w:p>
    <w:p w14:paraId="4EA7E5C6" w14:textId="77777777" w:rsidR="00B873AF" w:rsidRDefault="00000000">
      <w:pPr>
        <w:pStyle w:val="Bodytextnoindent"/>
      </w:pPr>
      <w:r>
        <w:rPr>
          <w:rFonts w:hint="eastAsia"/>
        </w:rPr>
        <w:t xml:space="preserve">This study is a 6-week, single-blind, randomized controlled trial (RCT). This plan has been approved by the XXX Review Committee (Approval </w:t>
      </w:r>
      <w:proofErr w:type="gramStart"/>
      <w:r>
        <w:rPr>
          <w:rFonts w:hint="eastAsia"/>
        </w:rPr>
        <w:t>Number:...</w:t>
      </w:r>
      <w:proofErr w:type="gramEnd"/>
      <w:r>
        <w:rPr>
          <w:rFonts w:hint="eastAsia"/>
        </w:rPr>
        <w:t>)</w:t>
      </w:r>
      <w:r>
        <w:rPr>
          <w:lang w:val="en-US"/>
        </w:rPr>
        <w:t>.</w:t>
      </w:r>
      <w:r>
        <w:rPr>
          <w:rFonts w:hint="eastAsia"/>
        </w:rPr>
        <w:t xml:space="preserve"> All participants provided written informed consent.</w:t>
      </w:r>
    </w:p>
    <w:p w14:paraId="1A26AFCE" w14:textId="77777777" w:rsidR="00B873AF" w:rsidRDefault="00000000">
      <w:pPr>
        <w:pStyle w:val="31"/>
      </w:pPr>
      <w:r>
        <w:rPr>
          <w:rFonts w:hint="eastAsia"/>
        </w:rPr>
        <w:t>3.1.1 Participant Recruitment</w:t>
      </w:r>
    </w:p>
    <w:p w14:paraId="59332144" w14:textId="77777777" w:rsidR="00B873AF" w:rsidRDefault="00000000">
      <w:pPr>
        <w:pStyle w:val="Bodytextwithindent"/>
        <w:ind w:firstLine="0"/>
      </w:pPr>
      <w:r>
        <w:rPr>
          <w:rFonts w:hint="eastAsia"/>
        </w:rPr>
        <w:t xml:space="preserve">This study recruited 100 participants (50 males and 50 females, with an average age of 44.8±9.1 years) diagnosed with primary insomnia disorder according to DSM-5, who were able to sleep alone in at least one bed during the experiment. The recruitment methods included online recruitment and clinical recommendation. Exclusion criteria include: 1) The presence of other major sleep disorders (e.g., sleep </w:t>
      </w:r>
      <w:proofErr w:type="spellStart"/>
      <w:r>
        <w:rPr>
          <w:rFonts w:hint="eastAsia"/>
        </w:rPr>
        <w:t>apnea</w:t>
      </w:r>
      <w:proofErr w:type="spellEnd"/>
      <w:r>
        <w:rPr>
          <w:rFonts w:hint="eastAsia"/>
        </w:rPr>
        <w:t>, restless legs syndrome); 2) Unstable medical or mental conditions; 3) Shift work; And 4) Currently using psychotropic drugs or sleep AIDS.</w:t>
      </w:r>
    </w:p>
    <w:p w14:paraId="199006B8" w14:textId="77777777" w:rsidR="00B873AF" w:rsidRDefault="00000000">
      <w:pPr>
        <w:pStyle w:val="31"/>
      </w:pPr>
      <w:r>
        <w:rPr>
          <w:rFonts w:hint="eastAsia"/>
        </w:rPr>
        <w:t>3.1.2 Research Design and Procedures</w:t>
      </w:r>
    </w:p>
    <w:p w14:paraId="455E9297" w14:textId="77777777" w:rsidR="00B873AF" w:rsidRDefault="00000000">
      <w:pPr>
        <w:pStyle w:val="Bodytextwithindent"/>
        <w:ind w:firstLine="0"/>
      </w:pPr>
      <w:r>
        <w:rPr>
          <w:rFonts w:hint="eastAsia"/>
        </w:rPr>
        <w:t>To evaluate the effectiveness of the cross-modal method, participants were randomly assigned to one of five parallel groups (n=20 in each group</w:t>
      </w:r>
      <w:proofErr w:type="gramStart"/>
      <w:r>
        <w:rPr>
          <w:rFonts w:hint="eastAsia"/>
        </w:rPr>
        <w:t>) :</w:t>
      </w:r>
      <w:proofErr w:type="gramEnd"/>
    </w:p>
    <w:p w14:paraId="582A8B36" w14:textId="77777777" w:rsidR="00B873AF" w:rsidRDefault="00000000">
      <w:pPr>
        <w:pStyle w:val="Listnumbered"/>
      </w:pPr>
      <w:r>
        <w:rPr>
          <w:rFonts w:hint="eastAsia"/>
        </w:rPr>
        <w:t>Control group (CBT-I only</w:t>
      </w:r>
      <w:proofErr w:type="gramStart"/>
      <w:r>
        <w:rPr>
          <w:rFonts w:hint="eastAsia"/>
        </w:rPr>
        <w:t>) :</w:t>
      </w:r>
      <w:proofErr w:type="gramEnd"/>
      <w:r>
        <w:rPr>
          <w:rFonts w:hint="eastAsia"/>
        </w:rPr>
        <w:t xml:space="preserve"> Received the standard CBT-I protocol.</w:t>
      </w:r>
    </w:p>
    <w:p w14:paraId="732B8715" w14:textId="77777777" w:rsidR="00B873AF" w:rsidRDefault="00000000">
      <w:pPr>
        <w:pStyle w:val="Listnumbered"/>
      </w:pPr>
      <w:r>
        <w:rPr>
          <w:rFonts w:hint="eastAsia"/>
        </w:rPr>
        <w:t>Audience-only group (A-CMATS</w:t>
      </w:r>
      <w:proofErr w:type="gramStart"/>
      <w:r>
        <w:rPr>
          <w:rFonts w:hint="eastAsia"/>
        </w:rPr>
        <w:t>) :</w:t>
      </w:r>
      <w:proofErr w:type="gramEnd"/>
      <w:r>
        <w:rPr>
          <w:rFonts w:hint="eastAsia"/>
        </w:rPr>
        <w:t xml:space="preserve"> Received CBT-I and used the audience-only stimulation module of CMATS every night.</w:t>
      </w:r>
    </w:p>
    <w:p w14:paraId="67EA231E" w14:textId="77777777" w:rsidR="00B873AF" w:rsidRDefault="00000000">
      <w:pPr>
        <w:pStyle w:val="Listnumbered"/>
      </w:pPr>
      <w:r>
        <w:rPr>
          <w:rFonts w:hint="eastAsia"/>
        </w:rPr>
        <w:t>Vision-only Group (V-CMATS</w:t>
      </w:r>
      <w:proofErr w:type="gramStart"/>
      <w:r>
        <w:rPr>
          <w:rFonts w:hint="eastAsia"/>
        </w:rPr>
        <w:t>) :</w:t>
      </w:r>
      <w:proofErr w:type="gramEnd"/>
      <w:r>
        <w:rPr>
          <w:rFonts w:hint="eastAsia"/>
        </w:rPr>
        <w:t xml:space="preserve"> Received CBT-I and used the vision-only stimulation module of CMATS every night.</w:t>
      </w:r>
    </w:p>
    <w:p w14:paraId="1C5224B8" w14:textId="77777777" w:rsidR="00B873AF" w:rsidRDefault="00000000">
      <w:pPr>
        <w:pStyle w:val="Listnumbered"/>
      </w:pPr>
      <w:r>
        <w:rPr>
          <w:rFonts w:hint="eastAsia"/>
        </w:rPr>
        <w:t>Tactile Only Group (H-CMATS</w:t>
      </w:r>
      <w:proofErr w:type="gramStart"/>
      <w:r>
        <w:rPr>
          <w:rFonts w:hint="eastAsia"/>
        </w:rPr>
        <w:t>) :</w:t>
      </w:r>
      <w:proofErr w:type="gramEnd"/>
      <w:r>
        <w:rPr>
          <w:rFonts w:hint="eastAsia"/>
        </w:rPr>
        <w:t xml:space="preserve"> Received CBT-I and used the tactile only stimulation module of CMATS every night.</w:t>
      </w:r>
    </w:p>
    <w:p w14:paraId="16577320" w14:textId="77777777" w:rsidR="00B873AF" w:rsidRDefault="00000000">
      <w:pPr>
        <w:pStyle w:val="Listnumbered"/>
      </w:pPr>
      <w:r>
        <w:rPr>
          <w:rFonts w:hint="eastAsia"/>
        </w:rPr>
        <w:t>Fully cross-modal group (Full-CMATS</w:t>
      </w:r>
      <w:proofErr w:type="gramStart"/>
      <w:r>
        <w:rPr>
          <w:rFonts w:hint="eastAsia"/>
        </w:rPr>
        <w:t>) :</w:t>
      </w:r>
      <w:proofErr w:type="gramEnd"/>
      <w:r>
        <w:rPr>
          <w:rFonts w:hint="eastAsia"/>
        </w:rPr>
        <w:t xml:space="preserve"> Receive CBT-I and use CMATS that combine auditory, visual and tactile stimuli every night.</w:t>
      </w:r>
    </w:p>
    <w:p w14:paraId="33E842A8" w14:textId="77777777" w:rsidR="00B873AF" w:rsidRDefault="00000000">
      <w:pPr>
        <w:pStyle w:val="Bodytextwithindent"/>
      </w:pPr>
      <w:r>
        <w:rPr>
          <w:rFonts w:hint="eastAsia"/>
        </w:rPr>
        <w:t>The experimental procedure includes the following steps:</w:t>
      </w:r>
    </w:p>
    <w:p w14:paraId="7051EB10" w14:textId="77777777" w:rsidR="00B873AF" w:rsidRDefault="00000000">
      <w:pPr>
        <w:pStyle w:val="Listnumbered"/>
        <w:numPr>
          <w:ilvl w:val="0"/>
          <w:numId w:val="5"/>
        </w:numPr>
      </w:pPr>
      <w:r>
        <w:rPr>
          <w:rFonts w:hint="eastAsia"/>
        </w:rPr>
        <w:t>Baseline assessment (Week 0</w:t>
      </w:r>
      <w:proofErr w:type="gramStart"/>
      <w:r>
        <w:rPr>
          <w:rFonts w:hint="eastAsia"/>
        </w:rPr>
        <w:t>) :</w:t>
      </w:r>
      <w:proofErr w:type="gramEnd"/>
      <w:r>
        <w:rPr>
          <w:rFonts w:hint="eastAsia"/>
        </w:rPr>
        <w:t xml:space="preserve"> Participants completed the baseline questionnaire (PSQI, ISI).</w:t>
      </w:r>
    </w:p>
    <w:p w14:paraId="11B3C252" w14:textId="77777777" w:rsidR="00B873AF" w:rsidRDefault="00000000">
      <w:pPr>
        <w:pStyle w:val="Listnumbered"/>
        <w:numPr>
          <w:ilvl w:val="0"/>
          <w:numId w:val="5"/>
        </w:numPr>
      </w:pPr>
      <w:r>
        <w:rPr>
          <w:rFonts w:hint="eastAsia"/>
        </w:rPr>
        <w:t>Intervention period (Weeks 1-6</w:t>
      </w:r>
      <w:proofErr w:type="gramStart"/>
      <w:r>
        <w:rPr>
          <w:rFonts w:hint="eastAsia"/>
        </w:rPr>
        <w:t>) :</w:t>
      </w:r>
      <w:proofErr w:type="gramEnd"/>
      <w:r>
        <w:rPr>
          <w:rFonts w:hint="eastAsia"/>
        </w:rPr>
        <w:t xml:space="preserve"> Participants attend CBT-I courses every week. The other groups use the </w:t>
      </w:r>
      <w:r>
        <w:rPr>
          <w:rFonts w:hint="eastAsia"/>
        </w:rPr>
        <w:lastRenderedPageBreak/>
        <w:t>corresponding module equipment for 120 minutes every night. All participants kept a daily sleep diary.</w:t>
      </w:r>
    </w:p>
    <w:p w14:paraId="383280DB" w14:textId="77777777" w:rsidR="00B873AF" w:rsidRDefault="00000000">
      <w:pPr>
        <w:pStyle w:val="Listnumbered"/>
        <w:numPr>
          <w:ilvl w:val="0"/>
          <w:numId w:val="5"/>
        </w:numPr>
      </w:pPr>
      <w:r>
        <w:rPr>
          <w:rFonts w:hint="eastAsia"/>
        </w:rPr>
        <w:t>Post-intervention assessment (Week 7</w:t>
      </w:r>
      <w:proofErr w:type="gramStart"/>
      <w:r>
        <w:rPr>
          <w:rFonts w:hint="eastAsia"/>
        </w:rPr>
        <w:t>) :</w:t>
      </w:r>
      <w:proofErr w:type="gramEnd"/>
      <w:r>
        <w:rPr>
          <w:rFonts w:hint="eastAsia"/>
        </w:rPr>
        <w:t xml:space="preserve"> Repeat the baseline assessment process, including two consecutive nights of laboratory PSG monitoring and the completion of the final questionnaire.</w:t>
      </w:r>
    </w:p>
    <w:p w14:paraId="04862CD3" w14:textId="77777777" w:rsidR="00B873AF" w:rsidRDefault="00000000">
      <w:pPr>
        <w:pStyle w:val="21"/>
      </w:pPr>
      <w:r>
        <w:rPr>
          <w:rFonts w:hint="eastAsia"/>
        </w:rPr>
        <w:t>3.2 Cross-modal Art Therapy System (CMATS)</w:t>
      </w:r>
    </w:p>
    <w:p w14:paraId="2A725745" w14:textId="77777777" w:rsidR="00B873AF" w:rsidRDefault="00000000">
      <w:pPr>
        <w:pStyle w:val="Bodytextwithindent"/>
        <w:ind w:firstLine="0"/>
      </w:pPr>
      <w:r>
        <w:rPr>
          <w:rFonts w:hint="eastAsia"/>
        </w:rPr>
        <w:t>The system architecture of CMATS is shown in Figure 1, consisting of three main components: the control unit, the stimulation module, and the sensing module.</w:t>
      </w:r>
    </w:p>
    <w:p w14:paraId="7F8AC9E1" w14:textId="77777777" w:rsidR="00B873AF" w:rsidRDefault="00B873AF">
      <w:pPr>
        <w:pStyle w:val="Bodytextwithindent"/>
        <w:ind w:firstLine="0"/>
        <w:rPr>
          <w:lang w:val="en-US"/>
        </w:rPr>
        <w:sectPr w:rsidR="00B873AF">
          <w:footerReference w:type="even" r:id="rId16"/>
          <w:type w:val="continuous"/>
          <w:pgSz w:w="11906" w:h="16838"/>
          <w:pgMar w:top="1644" w:right="907" w:bottom="1531" w:left="907" w:header="680" w:footer="680" w:gutter="0"/>
          <w:cols w:num="2" w:space="720" w:equalWidth="0">
            <w:col w:w="4876" w:space="340"/>
            <w:col w:w="4876"/>
          </w:cols>
          <w:titlePg/>
        </w:sectPr>
      </w:pPr>
    </w:p>
    <w:p w14:paraId="0A6FB873" w14:textId="77777777" w:rsidR="00B873AF" w:rsidRDefault="00000000">
      <w:pPr>
        <w:pStyle w:val="Bodytextwithindent"/>
        <w:ind w:firstLine="0"/>
        <w:jc w:val="center"/>
        <w:rPr>
          <w:lang w:val="en-US"/>
        </w:rPr>
      </w:pPr>
      <w:r>
        <w:rPr>
          <w:noProof/>
          <w:lang w:val="en-US"/>
        </w:rPr>
        <w:drawing>
          <wp:inline distT="0" distB="0" distL="114300" distR="114300" wp14:anchorId="5A7033BA" wp14:editId="755F57E0">
            <wp:extent cx="5262972" cy="1563629"/>
            <wp:effectExtent l="0" t="0" r="0" b="0"/>
            <wp:docPr id="13" name="图片 13" descr="第7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第7页-1"/>
                    <pic:cNvPicPr>
                      <a:picLocks noChangeAspect="1"/>
                    </pic:cNvPicPr>
                  </pic:nvPicPr>
                  <pic:blipFill>
                    <a:blip r:embed="rId17"/>
                    <a:srcRect l="3249" r="3918" b="13609"/>
                    <a:stretch>
                      <a:fillRect/>
                    </a:stretch>
                  </pic:blipFill>
                  <pic:spPr>
                    <a:xfrm>
                      <a:off x="0" y="0"/>
                      <a:ext cx="5287961" cy="1571053"/>
                    </a:xfrm>
                    <a:prstGeom prst="rect">
                      <a:avLst/>
                    </a:prstGeom>
                  </pic:spPr>
                </pic:pic>
              </a:graphicData>
            </a:graphic>
          </wp:inline>
        </w:drawing>
      </w:r>
    </w:p>
    <w:p w14:paraId="7B03C30E" w14:textId="77777777" w:rsidR="00B873AF" w:rsidRDefault="00000000">
      <w:pPr>
        <w:pStyle w:val="Captions"/>
      </w:pPr>
      <w:r>
        <w:rPr>
          <w:rFonts w:ascii="Arial Bold" w:hAnsi="Arial Bold" w:cs="Arial Bold"/>
          <w:b/>
          <w:bCs w:val="0"/>
        </w:rPr>
        <w:t>Figure 1.</w:t>
      </w:r>
      <w:r>
        <w:rPr>
          <w:rFonts w:ascii="Arial Bold" w:hAnsi="Arial Bold" w:cs="Arial Bold"/>
          <w:b/>
          <w:bCs w:val="0"/>
          <w:lang w:val="en-US"/>
        </w:rPr>
        <w:t xml:space="preserve"> </w:t>
      </w:r>
      <w:r>
        <w:rPr>
          <w:rFonts w:hint="eastAsia"/>
        </w:rPr>
        <w:t>CMATS system architecture diagram</w:t>
      </w:r>
    </w:p>
    <w:p w14:paraId="5A5EE187" w14:textId="77777777" w:rsidR="00B873AF" w:rsidRDefault="00B873AF">
      <w:pPr>
        <w:pStyle w:val="31"/>
        <w:sectPr w:rsidR="00B873AF">
          <w:type w:val="continuous"/>
          <w:pgSz w:w="11906" w:h="16838"/>
          <w:pgMar w:top="1644" w:right="907" w:bottom="1531" w:left="907" w:header="680" w:footer="680" w:gutter="0"/>
          <w:cols w:space="425"/>
          <w:titlePg/>
        </w:sectPr>
      </w:pPr>
    </w:p>
    <w:p w14:paraId="04FED230" w14:textId="77777777" w:rsidR="00B873AF" w:rsidRDefault="00000000">
      <w:pPr>
        <w:pStyle w:val="31"/>
      </w:pPr>
      <w:r>
        <w:rPr>
          <w:rFonts w:hint="eastAsia"/>
        </w:rPr>
        <w:t>3.2.1 Sensor Module</w:t>
      </w:r>
    </w:p>
    <w:p w14:paraId="3ED21C42" w14:textId="77777777" w:rsidR="00B873AF" w:rsidRDefault="00000000">
      <w:pPr>
        <w:pStyle w:val="Bodytextwithindent"/>
        <w:ind w:firstLine="0"/>
      </w:pPr>
      <w:r>
        <w:rPr>
          <w:rFonts w:hint="eastAsia"/>
        </w:rPr>
        <w:t xml:space="preserve">The sensing module is responsible for collecting the user's physiological data for baseline and post-intervention assessment. In this experiment, smart sleep pads and wearable rings were used as objective sleep measurement tools to obtain key indicators such as sleep latency (SL), total sleep time (TST), waking time after sleep (WASO), and sleep efficiency (SE). Neurophysiological data were obtained through wearable EEG headbands for calculating the power spectral density (PSD) of electroencephalogram (EEG), and the relative power in the δ (0.5-4hz), θ (4-8hz), and α (8-12hz) bands was </w:t>
      </w:r>
      <w:proofErr w:type="spellStart"/>
      <w:r>
        <w:rPr>
          <w:rFonts w:hint="eastAsia"/>
        </w:rPr>
        <w:t>analyzed</w:t>
      </w:r>
      <w:proofErr w:type="spellEnd"/>
      <w:r>
        <w:rPr>
          <w:rFonts w:hint="eastAsia"/>
        </w:rPr>
        <w:t xml:space="preserve"> using the Welch method. In addition, heart rate variability (HRV) was recorded by PPG sensors integrated into sleep pads and rings. The R-R intervals were extracted, and the time-domain (RMSSD) and frequency-domain (LF/HF ratio) indicators were calculated. Smart sleep pads, wearable rings and wearable EEG headbands form a complete physiological monitoring system.</w:t>
      </w:r>
    </w:p>
    <w:p w14:paraId="1D92D8E2" w14:textId="77777777" w:rsidR="00B873AF" w:rsidRDefault="00000000">
      <w:pPr>
        <w:pStyle w:val="31"/>
      </w:pPr>
      <w:r>
        <w:rPr>
          <w:rFonts w:hint="eastAsia"/>
        </w:rPr>
        <w:t>3.2.2 Control Unit</w:t>
      </w:r>
    </w:p>
    <w:p w14:paraId="259725D4" w14:textId="77777777" w:rsidR="00B873AF" w:rsidRDefault="00000000">
      <w:pPr>
        <w:pStyle w:val="Bodytextwithindent"/>
        <w:ind w:firstLine="0"/>
      </w:pPr>
      <w:r>
        <w:rPr>
          <w:rFonts w:hint="eastAsia"/>
        </w:rPr>
        <w:t>The control unit is an embedded system that runs a real-time operating system. Its main function is to receive input from the sensing module (EEG/HRV sensor) and execute the cross-modal synchronization algorithm (CMSA) to ensure that the three sensory streams are aligned in time with millisecond-level accuracy. CMSA is defined by the following synchronization functions:</w:t>
      </w:r>
    </w:p>
    <w:p w14:paraId="3292F3AF" w14:textId="77777777" w:rsidR="00B873AF" w:rsidRDefault="00000000">
      <w:pPr>
        <w:pStyle w:val="Bodytextwithindent"/>
        <w:ind w:firstLine="0"/>
        <w:jc w:val="center"/>
        <w:rPr>
          <w:rFonts w:hAnsi="Cambria Math"/>
          <w:color w:val="333333"/>
          <w:spacing w:val="5"/>
          <w:lang w:val="en-US"/>
        </w:rPr>
      </w:pPr>
      <m:oMath>
        <m:r>
          <w:rPr>
            <w:rFonts w:ascii="Cambria Math" w:hAnsi="Cambria Math" w:hint="eastAsia"/>
            <w:color w:val="333333"/>
            <w:spacing w:val="5"/>
            <w:lang w:val="en-US" w:eastAsia="zh-CN"/>
          </w:rPr>
          <m:t>S</m:t>
        </m:r>
        <m:r>
          <w:rPr>
            <w:rFonts w:ascii="Cambria Math" w:hAnsi="Cambria Math"/>
            <w:color w:val="333333"/>
            <w:spacing w:val="5"/>
            <w:lang w:val="en-US" w:eastAsia="zh-CN"/>
          </w:rPr>
          <m:t>(t)</m:t>
        </m:r>
        <m:r>
          <w:rPr>
            <w:rFonts w:ascii="Cambria Math" w:hAnsi="Cambria Math"/>
            <w:color w:val="333333"/>
            <w:spacing w:val="5"/>
          </w:rPr>
          <m:t>=</m:t>
        </m:r>
        <m:nary>
          <m:naryPr>
            <m:chr m:val="∑"/>
            <m:limLoc m:val="undOvr"/>
            <m:supHide m:val="1"/>
            <m:ctrlPr>
              <w:rPr>
                <w:rFonts w:ascii="Cambria Math" w:hAnsi="Cambria Math"/>
                <w:i/>
                <w:color w:val="333333"/>
                <w:spacing w:val="5"/>
              </w:rPr>
            </m:ctrlPr>
          </m:naryPr>
          <m:sub>
            <m:r>
              <w:rPr>
                <w:rFonts w:ascii="Cambria Math" w:hAnsi="Cambria Math" w:hint="eastAsia"/>
                <w:color w:val="333333"/>
                <w:spacing w:val="5"/>
              </w:rPr>
              <m:t>m</m:t>
            </m:r>
            <m:r>
              <w:rPr>
                <w:rFonts w:ascii="Cambria Math" w:hAnsi="Cambria Math" w:hint="eastAsia"/>
                <w:color w:val="333333"/>
                <w:spacing w:val="5"/>
              </w:rPr>
              <m:t>∈</m:t>
            </m:r>
            <m:r>
              <w:rPr>
                <w:rFonts w:ascii="Cambria Math" w:hAnsi="Cambria Math" w:hint="eastAsia"/>
                <w:color w:val="333333"/>
                <w:spacing w:val="5"/>
              </w:rPr>
              <m:t>{A,V,H}</m:t>
            </m:r>
          </m:sub>
          <m:sup/>
          <m:e/>
        </m:nary>
        <m:sSub>
          <m:sSubPr>
            <m:ctrlPr>
              <w:rPr>
                <w:rFonts w:ascii="Cambria Math" w:hAnsi="Cambria Math"/>
                <w:i/>
                <w:color w:val="333333"/>
                <w:spacing w:val="5"/>
              </w:rPr>
            </m:ctrlPr>
          </m:sSubPr>
          <m:e>
            <m:r>
              <w:rPr>
                <w:rFonts w:ascii="Cambria Math" w:hAnsi="Cambria Math"/>
                <w:color w:val="333333"/>
                <w:spacing w:val="5"/>
              </w:rPr>
              <m:t>λ</m:t>
            </m:r>
          </m:e>
          <m:sub>
            <m:r>
              <w:rPr>
                <w:rFonts w:ascii="Cambria Math" w:hAnsi="Cambria Math"/>
                <w:color w:val="333333"/>
                <w:spacing w:val="5"/>
                <w:lang w:val="en-US"/>
              </w:rPr>
              <m:t>m</m:t>
            </m:r>
          </m:sub>
        </m:sSub>
        <m:r>
          <w:rPr>
            <w:rFonts w:ascii="Cambria Math" w:hAnsi="Cambria Math"/>
            <w:color w:val="333333"/>
            <w:spacing w:val="5"/>
          </w:rPr>
          <m:t>∙</m:t>
        </m:r>
        <m:sSub>
          <m:sSubPr>
            <m:ctrlPr>
              <w:rPr>
                <w:rFonts w:ascii="Cambria Math" w:hAnsi="Cambria Math"/>
                <w:i/>
                <w:color w:val="333333"/>
                <w:spacing w:val="5"/>
              </w:rPr>
            </m:ctrlPr>
          </m:sSubPr>
          <m:e>
            <m:r>
              <w:rPr>
                <w:rFonts w:ascii="Cambria Math" w:hAnsi="Cambria Math"/>
                <w:color w:val="333333"/>
                <w:spacing w:val="5"/>
                <w:lang w:val="en-US"/>
              </w:rPr>
              <m:t>f</m:t>
            </m:r>
          </m:e>
          <m:sub>
            <m:r>
              <w:rPr>
                <w:rFonts w:ascii="Cambria Math" w:hAnsi="Cambria Math"/>
                <w:color w:val="333333"/>
                <w:spacing w:val="5"/>
                <w:lang w:val="en-US"/>
              </w:rPr>
              <m:t>m</m:t>
            </m:r>
          </m:sub>
        </m:sSub>
        <m:r>
          <w:rPr>
            <w:rFonts w:ascii="Cambria Math" w:hAnsi="Cambria Math"/>
            <w:color w:val="333333"/>
            <w:spacing w:val="5"/>
            <w:lang w:val="en-US"/>
          </w:rPr>
          <m:t>(t)∙</m:t>
        </m:r>
        <m:sSub>
          <m:sSubPr>
            <m:ctrlPr>
              <w:rPr>
                <w:rFonts w:ascii="Cambria Math" w:hAnsi="Cambria Math" w:hint="eastAsia"/>
                <w:i/>
                <w:color w:val="333333"/>
                <w:spacing w:val="5"/>
                <w:lang w:val="en-US"/>
              </w:rPr>
            </m:ctrlPr>
          </m:sSubPr>
          <m:e>
            <m:r>
              <w:rPr>
                <w:rFonts w:ascii="Cambria Math" w:hAnsi="Cambria Math" w:hint="eastAsia"/>
                <w:color w:val="333333"/>
                <w:spacing w:val="5"/>
                <w:lang w:val="en-US"/>
              </w:rPr>
              <m:t>Φ</m:t>
            </m:r>
          </m:e>
          <m:sub>
            <m:r>
              <w:rPr>
                <w:rFonts w:ascii="Cambria Math" w:hAnsi="Cambria Math"/>
                <w:color w:val="333333"/>
                <w:spacing w:val="5"/>
                <w:lang w:val="en-US"/>
              </w:rPr>
              <m:t>m</m:t>
            </m:r>
          </m:sub>
        </m:sSub>
        <m:r>
          <w:rPr>
            <w:rFonts w:ascii="Cambria Math" w:hAnsi="Cambria Math"/>
            <w:color w:val="333333"/>
            <w:spacing w:val="5"/>
            <w:lang w:val="en-US"/>
          </w:rPr>
          <m:t>(t)</m:t>
        </m:r>
      </m:oMath>
      <w:r>
        <w:rPr>
          <w:rFonts w:hAnsi="Cambria Math"/>
          <w:color w:val="333333"/>
          <w:spacing w:val="5"/>
          <w:lang w:val="en-US"/>
        </w:rPr>
        <w:t xml:space="preserve">        (1)</w:t>
      </w:r>
    </w:p>
    <w:p w14:paraId="4A9B46DB" w14:textId="77777777" w:rsidR="00B873AF" w:rsidRDefault="00000000">
      <w:pPr>
        <w:pStyle w:val="Bodytextwithindent"/>
      </w:pPr>
      <w:r>
        <w:rPr>
          <w:rFonts w:hint="eastAsia"/>
        </w:rPr>
        <w:t>Among them:</w:t>
      </w:r>
    </w:p>
    <w:p w14:paraId="41FA27EF" w14:textId="77777777" w:rsidR="00B873AF" w:rsidRDefault="00000000">
      <w:pPr>
        <w:pStyle w:val="Bodytextwithindent"/>
      </w:pPr>
      <w:r>
        <w:rPr>
          <w:rFonts w:hint="eastAsia"/>
        </w:rPr>
        <w:t>S(t) is the total synchronous therapeutic signal of time t.</w:t>
      </w:r>
    </w:p>
    <w:p w14:paraId="34DAD6A3" w14:textId="77777777" w:rsidR="00B873AF" w:rsidRDefault="00000000">
      <w:pPr>
        <w:pStyle w:val="Bodytextwithindent"/>
      </w:pPr>
      <w:r>
        <w:rPr>
          <w:rFonts w:hint="eastAsia"/>
        </w:rPr>
        <w:t>m represents the modes (A: auditory, V: visual, H: tactile).</w:t>
      </w:r>
    </w:p>
    <w:p w14:paraId="4A690AC0" w14:textId="77777777" w:rsidR="00B873AF" w:rsidRDefault="00000000">
      <w:pPr>
        <w:pStyle w:val="Bodytextwithindent"/>
      </w:pPr>
      <m:oMath>
        <m:sSub>
          <m:sSubPr>
            <m:ctrlPr>
              <w:rPr>
                <w:rFonts w:ascii="Cambria Math" w:hAnsi="Cambria Math" w:cs="仿宋"/>
                <w:i/>
                <w:szCs w:val="28"/>
              </w:rPr>
            </m:ctrlPr>
          </m:sSubPr>
          <m:e>
            <m:r>
              <w:rPr>
                <w:rFonts w:ascii="Cambria Math" w:hAnsi="Cambria Math" w:cs="仿宋" w:hint="eastAsia"/>
                <w:szCs w:val="28"/>
              </w:rPr>
              <m:t>λ</m:t>
            </m:r>
          </m:e>
          <m:sub>
            <m:r>
              <w:rPr>
                <w:rFonts w:ascii="Cambria Math" w:hAnsi="Cambria Math" w:cs="仿宋"/>
                <w:lang w:val="en-US"/>
              </w:rPr>
              <m:t>m</m:t>
            </m:r>
          </m:sub>
        </m:sSub>
      </m:oMath>
      <w:r>
        <w:rPr>
          <w:rFonts w:hint="eastAsia"/>
        </w:rPr>
        <w:t xml:space="preserve"> is a modal-specific weighting factor (for example, during deep sleep induction).</w:t>
      </w:r>
    </w:p>
    <w:p w14:paraId="3ACE31EE" w14:textId="77777777" w:rsidR="00B873AF" w:rsidRDefault="00000000">
      <w:pPr>
        <w:pStyle w:val="Bodytextwithindent"/>
      </w:pPr>
      <m:oMath>
        <m:sSub>
          <m:sSubPr>
            <m:ctrlPr>
              <w:rPr>
                <w:rFonts w:ascii="Cambria Math" w:hAnsi="Cambria Math" w:cs="仿宋"/>
                <w:i/>
                <w:szCs w:val="28"/>
              </w:rPr>
            </m:ctrlPr>
          </m:sSubPr>
          <m:e>
            <m:r>
              <w:rPr>
                <w:rFonts w:ascii="Cambria Math" w:hAnsi="Cambria Math" w:cs="仿宋"/>
                <w:szCs w:val="28"/>
                <w:lang w:val="en-US"/>
              </w:rPr>
              <m:t>f</m:t>
            </m:r>
          </m:e>
          <m:sub>
            <m:r>
              <w:rPr>
                <w:rFonts w:ascii="Cambria Math" w:hAnsi="Cambria Math" w:cs="仿宋"/>
                <w:szCs w:val="28"/>
                <w:lang w:val="en-US"/>
              </w:rPr>
              <m:t>m</m:t>
            </m:r>
          </m:sub>
        </m:sSub>
        <m:r>
          <w:rPr>
            <w:rFonts w:ascii="Cambria Math" w:hAnsi="Cambria Math" w:cs="仿宋"/>
            <w:lang w:val="en-US"/>
          </w:rPr>
          <m:t>(t)</m:t>
        </m:r>
      </m:oMath>
      <w:r>
        <w:rPr>
          <w:rFonts w:hint="eastAsia"/>
        </w:rPr>
        <w:t xml:space="preserve"> is the time-varying stimulus function of mode m (for example, the frequency of binaural beats, the intensity of light).</w:t>
      </w:r>
    </w:p>
    <w:p w14:paraId="135E4A8F" w14:textId="77777777" w:rsidR="00B873AF" w:rsidRDefault="00000000">
      <w:pPr>
        <w:pStyle w:val="Bodytextwithindent"/>
      </w:pPr>
      <m:oMath>
        <m:sSub>
          <m:sSubPr>
            <m:ctrlPr>
              <w:rPr>
                <w:rFonts w:ascii="Cambria Math" w:hAnsi="Cambria Math" w:cs="仿宋"/>
                <w:i/>
                <w:szCs w:val="28"/>
              </w:rPr>
            </m:ctrlPr>
          </m:sSubPr>
          <m:e>
            <m:r>
              <w:rPr>
                <w:rFonts w:ascii="Cambria Math" w:hAnsi="Cambria Math" w:cs="仿宋" w:hint="eastAsia"/>
                <w:szCs w:val="28"/>
              </w:rPr>
              <m:t>Φ</m:t>
            </m:r>
          </m:e>
          <m:sub>
            <m:r>
              <w:rPr>
                <w:rFonts w:ascii="Cambria Math" w:hAnsi="Cambria Math" w:cs="仿宋"/>
                <w:szCs w:val="28"/>
                <w:lang w:val="en-US"/>
              </w:rPr>
              <m:t>m</m:t>
            </m:r>
          </m:sub>
        </m:sSub>
        <m:r>
          <w:rPr>
            <w:rFonts w:ascii="Cambria Math" w:hAnsi="Cambria Math" w:cs="仿宋"/>
            <w:lang w:val="en-US"/>
          </w:rPr>
          <m:t>(t)</m:t>
        </m:r>
      </m:oMath>
      <w:r>
        <w:rPr>
          <w:rFonts w:hint="eastAsia"/>
        </w:rPr>
        <w:t xml:space="preserve"> is the phase synchronization function, ensuring that the peak of one stimulus aligns with a specific phase of another stimulus (for example, the visual flicker frequency matches the auditory binaural beat frequency).</w:t>
      </w:r>
    </w:p>
    <w:p w14:paraId="235F1449" w14:textId="77777777" w:rsidR="00B873AF" w:rsidRDefault="00000000">
      <w:pPr>
        <w:pStyle w:val="31"/>
      </w:pPr>
      <w:r>
        <w:rPr>
          <w:rFonts w:hint="eastAsia"/>
        </w:rPr>
        <w:t>3.2.3 Stimulation Module</w:t>
      </w:r>
    </w:p>
    <w:p w14:paraId="119A012D" w14:textId="77777777" w:rsidR="00B873AF" w:rsidRDefault="00000000">
      <w:pPr>
        <w:pStyle w:val="Bodytextnoindent"/>
      </w:pPr>
      <w:r>
        <w:rPr>
          <w:rFonts w:hint="eastAsia"/>
        </w:rPr>
        <w:t xml:space="preserve">The stimulation module includes an auditory module using bone conduction headphones, a sleep eye mask embedded with a low-intensity, non-blue light spectrum LED array, and an intelligent sleep pad embedded with a low-frequency linear resonance vibration actuator (LRA). The auditory module's stimulation content consists of binaural beats (carrier frequency 150Hz) and a low-frequency environmental </w:t>
      </w:r>
      <w:proofErr w:type="spellStart"/>
      <w:r>
        <w:rPr>
          <w:rFonts w:hint="eastAsia"/>
        </w:rPr>
        <w:t>soundscene</w:t>
      </w:r>
      <w:proofErr w:type="spellEnd"/>
      <w:r>
        <w:rPr>
          <w:rFonts w:hint="eastAsia"/>
        </w:rPr>
        <w:t xml:space="preserve"> composed of simple pure synthetic sounds to avoid unnecessary cognitive processing. The system achieves three-stage guidance of brainwave synchronization by regulating the beat frequency: In the first stage (0-30 minutes, to wake up), it linearly decreases from 10Hz (α band) to 6Hz (low θ band); The second stage (30-60 minutes, induction) continues to linearly decline from 6Hz to 2Hz (high δ band); In the third stage (60-120 minutes, synchronized), maintain a constant 1Hz isochronous tone (δ band) to promote slow-wave sleep (SWS). Keep the sound volume within 40dB SPL.</w:t>
      </w:r>
    </w:p>
    <w:p w14:paraId="5C2BC7DB" w14:textId="77777777" w:rsidR="00B873AF" w:rsidRDefault="00000000">
      <w:pPr>
        <w:pStyle w:val="Bodytextwithindent"/>
      </w:pPr>
      <w:r>
        <w:rPr>
          <w:rFonts w:hint="eastAsia"/>
        </w:rPr>
        <w:t>The peak wavelength of the LED array spectrum in the vision module is 630nm, deep red light. Visual stimulation is a set of dynamic light patterns, whose flickering frequency is synchronized with the auditory beat frequency (</w:t>
      </w:r>
      <w:proofErr w:type="spellStart"/>
      <w:r>
        <w:rPr>
          <w:rFonts w:hint="eastAsia"/>
        </w:rPr>
        <w:t>fV</w:t>
      </w:r>
      <w:proofErr w:type="spellEnd"/>
      <w:r>
        <w:rPr>
          <w:rFonts w:hint="eastAsia"/>
        </w:rPr>
        <w:t>(t)=</w:t>
      </w:r>
      <w:proofErr w:type="spellStart"/>
      <w:r>
        <w:rPr>
          <w:rFonts w:hint="eastAsia"/>
        </w:rPr>
        <w:t>fA</w:t>
      </w:r>
      <w:proofErr w:type="spellEnd"/>
      <w:r>
        <w:rPr>
          <w:rFonts w:hint="eastAsia"/>
        </w:rPr>
        <w:t>(t)), using optical driving technology. In the first stage, the light intensity will be modulated according to a slow breathing rhythm to enhance relaxation and reduce the level of arousal. The upper limit of light intensity is set at 5lux, which is lower than the melatonin inhibition threshold to ensure safety and comfort.</w:t>
      </w:r>
    </w:p>
    <w:p w14:paraId="169EF25B" w14:textId="77777777" w:rsidR="00B873AF" w:rsidRDefault="00000000">
      <w:pPr>
        <w:pStyle w:val="Bodytextwithindent"/>
      </w:pPr>
      <w:r>
        <w:rPr>
          <w:rFonts w:hint="eastAsia"/>
        </w:rPr>
        <w:t xml:space="preserve">The tactile module is composed of low-frequency, rhythmic and slight vibrations, simulating the soothing effect </w:t>
      </w:r>
      <w:r>
        <w:rPr>
          <w:rFonts w:hint="eastAsia"/>
        </w:rPr>
        <w:lastRenderedPageBreak/>
        <w:t>brought by shaking or light touch. Its vibration frequency is consistent with the low-frequency band of the auditory and visual synchronous signals and is regulated in three stages: The first stage (0-30 minutes) provides continuous, low-amplitude 5Hz vibration to promote relaxation; The second stage (30-60 minutes) transforms into rhythmic pulse vibration and is synchronized with the θ band variation trajectory (from 6Hz to 2Hz). In the third stage (60-120 minutes), maintain continuous 1Hz ultra-low frequency vibration to enhance the amplitude of the slow oscillation (SOs) characteristic of slow-wave sleep (SWS). The vibration amplitude is set to be almost imperceptible, and its maximum acceleration does not exceed 0.5m/s².</w:t>
      </w:r>
    </w:p>
    <w:p w14:paraId="6AC43FB5" w14:textId="77777777" w:rsidR="00B873AF" w:rsidRDefault="00000000">
      <w:pPr>
        <w:pStyle w:val="11"/>
      </w:pPr>
      <w:r>
        <w:rPr>
          <w:rFonts w:hint="eastAsia"/>
        </w:rPr>
        <w:t>4. Experiments and Results</w:t>
      </w:r>
    </w:p>
    <w:p w14:paraId="05CCFADE" w14:textId="77777777" w:rsidR="00B873AF" w:rsidRDefault="00000000">
      <w:pPr>
        <w:pStyle w:val="21"/>
      </w:pPr>
      <w:r>
        <w:rPr>
          <w:rFonts w:hint="eastAsia"/>
        </w:rPr>
        <w:t>4.1 Experimental Procedure</w:t>
      </w:r>
    </w:p>
    <w:p w14:paraId="3713F3EB" w14:textId="57880BF3" w:rsidR="00B873AF" w:rsidRPr="006B303C" w:rsidRDefault="00000000" w:rsidP="006B303C">
      <w:pPr>
        <w:pStyle w:val="Bodytextwithindent"/>
        <w:ind w:firstLine="0"/>
        <w:rPr>
          <w:rFonts w:eastAsiaTheme="minorEastAsia" w:hint="eastAsia"/>
          <w:lang w:eastAsia="zh-CN"/>
        </w:rPr>
        <w:sectPr w:rsidR="00B873AF" w:rsidRPr="006B303C">
          <w:type w:val="continuous"/>
          <w:pgSz w:w="11906" w:h="16838"/>
          <w:pgMar w:top="1644" w:right="907" w:bottom="1531" w:left="907" w:header="680" w:footer="680" w:gutter="0"/>
          <w:cols w:num="2" w:space="720" w:equalWidth="0">
            <w:col w:w="4876" w:space="340"/>
            <w:col w:w="4876"/>
          </w:cols>
          <w:titlePg/>
        </w:sectPr>
      </w:pPr>
      <w:r>
        <w:rPr>
          <w:rFonts w:hint="eastAsia"/>
        </w:rPr>
        <w:t>Participants in the treatment group were required to immediately use the CMATS system, including the corresponding module equipment, upon entering the bed. The CMATS system worked for 120 minutes, 7 days a week for 6 consecutive weeks (a total of 42 CMATS sessions). The intervention plan is shown in Table 1. The control group received only the same 6-week CBT-I treatment</w:t>
      </w:r>
    </w:p>
    <w:p w14:paraId="7D563B4B" w14:textId="77777777" w:rsidR="00B873AF" w:rsidRDefault="00000000">
      <w:pPr>
        <w:pStyle w:val="Captions"/>
        <w:rPr>
          <w:lang w:val="en-US"/>
        </w:rPr>
      </w:pPr>
      <w:r>
        <w:rPr>
          <w:lang w:val="en-US"/>
        </w:rPr>
        <w:t>Table 1. Experimental intervention plan</w:t>
      </w:r>
    </w:p>
    <w:tbl>
      <w:tblPr>
        <w:tblStyle w:val="TableNormal"/>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581"/>
        <w:gridCol w:w="1710"/>
        <w:gridCol w:w="4914"/>
      </w:tblGrid>
      <w:tr w:rsidR="00B873AF" w14:paraId="73C72984" w14:textId="77777777">
        <w:trPr>
          <w:trHeight w:val="57"/>
        </w:trPr>
        <w:tc>
          <w:tcPr>
            <w:tcW w:w="733" w:type="dxa"/>
            <w:tcBorders>
              <w:top w:val="single" w:sz="12" w:space="0" w:color="000000"/>
              <w:left w:val="nil"/>
              <w:bottom w:val="single" w:sz="4" w:space="0" w:color="000000"/>
              <w:right w:val="nil"/>
              <w:tl2br w:val="nil"/>
            </w:tcBorders>
            <w:shd w:val="clear" w:color="auto" w:fill="FFFFFF"/>
            <w:vAlign w:val="center"/>
          </w:tcPr>
          <w:p w14:paraId="702D9465" w14:textId="77777777" w:rsidR="00B873AF" w:rsidRDefault="00000000">
            <w:pPr>
              <w:pStyle w:val="TableText0"/>
              <w:rPr>
                <w:rFonts w:hint="eastAsia"/>
              </w:rPr>
            </w:pPr>
            <w:r>
              <w:rPr>
                <w:rFonts w:hint="eastAsia"/>
              </w:rPr>
              <w:t>Week</w:t>
            </w:r>
          </w:p>
        </w:tc>
        <w:tc>
          <w:tcPr>
            <w:tcW w:w="2581" w:type="dxa"/>
            <w:tcBorders>
              <w:top w:val="single" w:sz="12" w:space="0" w:color="000000"/>
              <w:left w:val="nil"/>
              <w:bottom w:val="single" w:sz="4" w:space="0" w:color="000000"/>
              <w:right w:val="nil"/>
            </w:tcBorders>
            <w:shd w:val="clear" w:color="auto" w:fill="FFFFFF"/>
            <w:vAlign w:val="center"/>
          </w:tcPr>
          <w:p w14:paraId="1FA2D31D" w14:textId="77777777" w:rsidR="00B873AF" w:rsidRDefault="00000000">
            <w:pPr>
              <w:pStyle w:val="TableText0"/>
              <w:rPr>
                <w:rFonts w:hint="eastAsia"/>
              </w:rPr>
            </w:pPr>
            <w:r>
              <w:rPr>
                <w:rFonts w:hint="eastAsia"/>
              </w:rPr>
              <w:t>Session</w:t>
            </w:r>
          </w:p>
          <w:p w14:paraId="4489D315" w14:textId="77777777" w:rsidR="00B873AF" w:rsidRDefault="00000000">
            <w:pPr>
              <w:pStyle w:val="TableText0"/>
              <w:rPr>
                <w:rFonts w:hint="eastAsia"/>
              </w:rPr>
            </w:pPr>
            <w:r>
              <w:rPr>
                <w:rFonts w:hint="eastAsia"/>
              </w:rPr>
              <w:t>Frequency</w:t>
            </w:r>
          </w:p>
        </w:tc>
        <w:tc>
          <w:tcPr>
            <w:tcW w:w="1710" w:type="dxa"/>
            <w:tcBorders>
              <w:top w:val="single" w:sz="12" w:space="0" w:color="000000"/>
              <w:left w:val="nil"/>
              <w:bottom w:val="single" w:sz="4" w:space="0" w:color="000000"/>
              <w:right w:val="nil"/>
            </w:tcBorders>
            <w:shd w:val="clear" w:color="auto" w:fill="FFFFFF"/>
            <w:vAlign w:val="center"/>
          </w:tcPr>
          <w:p w14:paraId="76739468" w14:textId="77777777" w:rsidR="00B873AF" w:rsidRDefault="00000000">
            <w:pPr>
              <w:pStyle w:val="TableText0"/>
              <w:rPr>
                <w:rFonts w:hint="eastAsia"/>
              </w:rPr>
            </w:pPr>
            <w:r>
              <w:rPr>
                <w:rFonts w:hint="eastAsia"/>
              </w:rPr>
              <w:t>CMATS Session Duration</w:t>
            </w:r>
          </w:p>
        </w:tc>
        <w:tc>
          <w:tcPr>
            <w:tcW w:w="4914" w:type="dxa"/>
            <w:tcBorders>
              <w:top w:val="single" w:sz="12" w:space="0" w:color="000000"/>
              <w:left w:val="nil"/>
              <w:bottom w:val="single" w:sz="4" w:space="0" w:color="000000"/>
              <w:right w:val="nil"/>
            </w:tcBorders>
            <w:shd w:val="clear" w:color="auto" w:fill="FFFFFF"/>
            <w:vAlign w:val="center"/>
          </w:tcPr>
          <w:p w14:paraId="4B115A6F" w14:textId="77777777" w:rsidR="00B873AF" w:rsidRDefault="00000000">
            <w:pPr>
              <w:pStyle w:val="TableText0"/>
              <w:rPr>
                <w:rFonts w:hint="eastAsia"/>
              </w:rPr>
            </w:pPr>
            <w:r>
              <w:rPr>
                <w:rFonts w:hint="eastAsia"/>
              </w:rPr>
              <w:t>CBT-I Session Focus</w:t>
            </w:r>
          </w:p>
        </w:tc>
      </w:tr>
      <w:tr w:rsidR="00B873AF" w14:paraId="547055C3" w14:textId="77777777">
        <w:trPr>
          <w:trHeight w:val="57"/>
        </w:trPr>
        <w:tc>
          <w:tcPr>
            <w:tcW w:w="733" w:type="dxa"/>
            <w:tcBorders>
              <w:top w:val="single" w:sz="4" w:space="0" w:color="000000"/>
              <w:left w:val="nil"/>
              <w:bottom w:val="nil"/>
              <w:right w:val="nil"/>
            </w:tcBorders>
            <w:shd w:val="clear" w:color="auto" w:fill="FFFFFF"/>
            <w:vAlign w:val="center"/>
          </w:tcPr>
          <w:p w14:paraId="3A909AF3" w14:textId="77777777" w:rsidR="00B873AF" w:rsidRDefault="00000000">
            <w:pPr>
              <w:pStyle w:val="TableText0"/>
              <w:rPr>
                <w:rFonts w:hint="eastAsia"/>
              </w:rPr>
            </w:pPr>
            <w:r>
              <w:rPr>
                <w:rFonts w:hint="eastAsia"/>
              </w:rPr>
              <w:t>1</w:t>
            </w:r>
          </w:p>
        </w:tc>
        <w:tc>
          <w:tcPr>
            <w:tcW w:w="2581" w:type="dxa"/>
            <w:tcBorders>
              <w:top w:val="single" w:sz="4" w:space="0" w:color="000000"/>
              <w:left w:val="nil"/>
              <w:bottom w:val="nil"/>
              <w:right w:val="nil"/>
            </w:tcBorders>
            <w:shd w:val="clear" w:color="auto" w:fill="FFFFFF"/>
            <w:vAlign w:val="center"/>
          </w:tcPr>
          <w:p w14:paraId="589528A1" w14:textId="77777777" w:rsidR="00B873AF" w:rsidRDefault="00000000">
            <w:pPr>
              <w:pStyle w:val="TableText0"/>
              <w:rPr>
                <w:rFonts w:hint="eastAsia"/>
              </w:rPr>
            </w:pPr>
            <w:r>
              <w:rPr>
                <w:rFonts w:hint="eastAsia"/>
              </w:rPr>
              <w:t>Daily CMATS + 1 CBT-I</w:t>
            </w:r>
          </w:p>
        </w:tc>
        <w:tc>
          <w:tcPr>
            <w:tcW w:w="1710" w:type="dxa"/>
            <w:tcBorders>
              <w:top w:val="single" w:sz="4" w:space="0" w:color="000000"/>
              <w:left w:val="nil"/>
              <w:bottom w:val="nil"/>
              <w:right w:val="nil"/>
            </w:tcBorders>
            <w:shd w:val="clear" w:color="auto" w:fill="FFFFFF"/>
            <w:vAlign w:val="center"/>
          </w:tcPr>
          <w:p w14:paraId="6D4485D9" w14:textId="77777777" w:rsidR="00B873AF" w:rsidRDefault="00000000">
            <w:pPr>
              <w:pStyle w:val="TableText0"/>
              <w:rPr>
                <w:rFonts w:hint="eastAsia"/>
              </w:rPr>
            </w:pPr>
            <w:r>
              <w:rPr>
                <w:rFonts w:hint="eastAsia"/>
              </w:rPr>
              <w:t>120 minutes</w:t>
            </w:r>
          </w:p>
        </w:tc>
        <w:tc>
          <w:tcPr>
            <w:tcW w:w="4914" w:type="dxa"/>
            <w:tcBorders>
              <w:top w:val="single" w:sz="4" w:space="0" w:color="000000"/>
              <w:left w:val="nil"/>
              <w:bottom w:val="nil"/>
              <w:right w:val="nil"/>
            </w:tcBorders>
            <w:shd w:val="clear" w:color="auto" w:fill="FFFFFF"/>
            <w:vAlign w:val="center"/>
          </w:tcPr>
          <w:p w14:paraId="78CFBC1B" w14:textId="77777777" w:rsidR="00B873AF" w:rsidRDefault="00000000">
            <w:pPr>
              <w:pStyle w:val="TableText0"/>
              <w:rPr>
                <w:rFonts w:hint="eastAsia"/>
              </w:rPr>
            </w:pPr>
            <w:r>
              <w:rPr>
                <w:rFonts w:hint="eastAsia"/>
              </w:rPr>
              <w:t>Introduction to CBT-I, Sleep Hygiene Education, Sleep Diary.</w:t>
            </w:r>
          </w:p>
        </w:tc>
      </w:tr>
      <w:tr w:rsidR="00B873AF" w14:paraId="29AEA41C" w14:textId="77777777">
        <w:trPr>
          <w:trHeight w:val="57"/>
        </w:trPr>
        <w:tc>
          <w:tcPr>
            <w:tcW w:w="733" w:type="dxa"/>
            <w:tcBorders>
              <w:top w:val="nil"/>
              <w:left w:val="nil"/>
              <w:bottom w:val="nil"/>
              <w:right w:val="nil"/>
            </w:tcBorders>
            <w:shd w:val="clear" w:color="auto" w:fill="FFFFFF"/>
            <w:vAlign w:val="center"/>
          </w:tcPr>
          <w:p w14:paraId="749700B7" w14:textId="77777777" w:rsidR="00B873AF" w:rsidRDefault="00000000">
            <w:pPr>
              <w:pStyle w:val="TableText0"/>
              <w:rPr>
                <w:rFonts w:hint="eastAsia"/>
              </w:rPr>
            </w:pPr>
            <w:r>
              <w:rPr>
                <w:rFonts w:hint="eastAsia"/>
              </w:rPr>
              <w:t>2</w:t>
            </w:r>
          </w:p>
        </w:tc>
        <w:tc>
          <w:tcPr>
            <w:tcW w:w="2581" w:type="dxa"/>
            <w:tcBorders>
              <w:top w:val="nil"/>
              <w:left w:val="nil"/>
              <w:bottom w:val="nil"/>
              <w:right w:val="nil"/>
            </w:tcBorders>
            <w:shd w:val="clear" w:color="auto" w:fill="FFFFFF"/>
            <w:vAlign w:val="center"/>
          </w:tcPr>
          <w:p w14:paraId="60035561" w14:textId="77777777" w:rsidR="00B873AF" w:rsidRDefault="00000000">
            <w:pPr>
              <w:pStyle w:val="TableText0"/>
              <w:rPr>
                <w:rFonts w:hint="eastAsia"/>
              </w:rPr>
            </w:pPr>
            <w:r>
              <w:rPr>
                <w:rFonts w:hint="eastAsia"/>
              </w:rPr>
              <w:t>Daily CMATS + 1 CBT-I</w:t>
            </w:r>
          </w:p>
        </w:tc>
        <w:tc>
          <w:tcPr>
            <w:tcW w:w="1710" w:type="dxa"/>
            <w:tcBorders>
              <w:top w:val="nil"/>
              <w:left w:val="nil"/>
              <w:bottom w:val="nil"/>
              <w:right w:val="nil"/>
            </w:tcBorders>
            <w:shd w:val="clear" w:color="auto" w:fill="FFFFFF"/>
            <w:vAlign w:val="center"/>
          </w:tcPr>
          <w:p w14:paraId="7AEF4F77" w14:textId="77777777" w:rsidR="00B873AF" w:rsidRDefault="00000000">
            <w:pPr>
              <w:pStyle w:val="TableText0"/>
              <w:rPr>
                <w:rFonts w:hint="eastAsia"/>
              </w:rPr>
            </w:pPr>
            <w:r>
              <w:rPr>
                <w:rFonts w:hint="eastAsia"/>
              </w:rPr>
              <w:t>120 minutes</w:t>
            </w:r>
          </w:p>
        </w:tc>
        <w:tc>
          <w:tcPr>
            <w:tcW w:w="4914" w:type="dxa"/>
            <w:tcBorders>
              <w:top w:val="nil"/>
              <w:left w:val="nil"/>
              <w:bottom w:val="nil"/>
              <w:right w:val="nil"/>
            </w:tcBorders>
            <w:shd w:val="clear" w:color="auto" w:fill="FFFFFF"/>
            <w:vAlign w:val="center"/>
          </w:tcPr>
          <w:p w14:paraId="49C87148" w14:textId="77777777" w:rsidR="00B873AF" w:rsidRDefault="00000000">
            <w:pPr>
              <w:pStyle w:val="TableText0"/>
              <w:rPr>
                <w:rFonts w:hint="eastAsia"/>
              </w:rPr>
            </w:pPr>
            <w:r>
              <w:rPr>
                <w:rFonts w:hint="eastAsia"/>
              </w:rPr>
              <w:t>Stimulus Control (SC) and Sleep Restriction (SR) introduction.</w:t>
            </w:r>
          </w:p>
        </w:tc>
      </w:tr>
      <w:tr w:rsidR="00B873AF" w14:paraId="25AE212C" w14:textId="77777777">
        <w:trPr>
          <w:trHeight w:val="57"/>
        </w:trPr>
        <w:tc>
          <w:tcPr>
            <w:tcW w:w="733" w:type="dxa"/>
            <w:tcBorders>
              <w:top w:val="nil"/>
              <w:left w:val="nil"/>
              <w:bottom w:val="nil"/>
              <w:right w:val="nil"/>
            </w:tcBorders>
            <w:shd w:val="clear" w:color="auto" w:fill="FFFFFF"/>
            <w:vAlign w:val="center"/>
          </w:tcPr>
          <w:p w14:paraId="2BDA8E8E" w14:textId="77777777" w:rsidR="00B873AF" w:rsidRDefault="00000000">
            <w:pPr>
              <w:pStyle w:val="TableText0"/>
              <w:rPr>
                <w:rFonts w:hint="eastAsia"/>
              </w:rPr>
            </w:pPr>
            <w:r>
              <w:rPr>
                <w:rFonts w:hint="eastAsia"/>
              </w:rPr>
              <w:t>3</w:t>
            </w:r>
          </w:p>
        </w:tc>
        <w:tc>
          <w:tcPr>
            <w:tcW w:w="2581" w:type="dxa"/>
            <w:tcBorders>
              <w:top w:val="nil"/>
              <w:left w:val="nil"/>
              <w:bottom w:val="nil"/>
              <w:right w:val="nil"/>
            </w:tcBorders>
            <w:shd w:val="clear" w:color="auto" w:fill="FFFFFF"/>
            <w:vAlign w:val="center"/>
          </w:tcPr>
          <w:p w14:paraId="7A9BA2E4" w14:textId="77777777" w:rsidR="00B873AF" w:rsidRDefault="00000000">
            <w:pPr>
              <w:pStyle w:val="TableText0"/>
              <w:rPr>
                <w:rFonts w:hint="eastAsia"/>
              </w:rPr>
            </w:pPr>
            <w:r>
              <w:rPr>
                <w:rFonts w:hint="eastAsia"/>
              </w:rPr>
              <w:t>Daily CMATS + 1 CBT-I</w:t>
            </w:r>
          </w:p>
        </w:tc>
        <w:tc>
          <w:tcPr>
            <w:tcW w:w="1710" w:type="dxa"/>
            <w:tcBorders>
              <w:top w:val="nil"/>
              <w:left w:val="nil"/>
              <w:bottom w:val="nil"/>
              <w:right w:val="nil"/>
            </w:tcBorders>
            <w:shd w:val="clear" w:color="auto" w:fill="FFFFFF"/>
            <w:vAlign w:val="center"/>
          </w:tcPr>
          <w:p w14:paraId="3FC505B5" w14:textId="77777777" w:rsidR="00B873AF" w:rsidRDefault="00000000">
            <w:pPr>
              <w:pStyle w:val="TableText0"/>
              <w:rPr>
                <w:rFonts w:hint="eastAsia"/>
              </w:rPr>
            </w:pPr>
            <w:r>
              <w:rPr>
                <w:rFonts w:hint="eastAsia"/>
              </w:rPr>
              <w:t>120 minutes</w:t>
            </w:r>
          </w:p>
        </w:tc>
        <w:tc>
          <w:tcPr>
            <w:tcW w:w="4914" w:type="dxa"/>
            <w:tcBorders>
              <w:top w:val="nil"/>
              <w:left w:val="nil"/>
              <w:bottom w:val="nil"/>
              <w:right w:val="nil"/>
            </w:tcBorders>
            <w:shd w:val="clear" w:color="auto" w:fill="FFFFFF"/>
            <w:vAlign w:val="center"/>
          </w:tcPr>
          <w:p w14:paraId="0478B46B" w14:textId="77777777" w:rsidR="00B873AF" w:rsidRDefault="00000000">
            <w:pPr>
              <w:pStyle w:val="TableText0"/>
              <w:rPr>
                <w:rFonts w:hint="eastAsia"/>
              </w:rPr>
            </w:pPr>
            <w:r>
              <w:rPr>
                <w:rFonts w:hint="eastAsia"/>
              </w:rPr>
              <w:t>Cognitive Therapy (CT): Challenging dysfunctional beliefs about sleep.</w:t>
            </w:r>
          </w:p>
        </w:tc>
      </w:tr>
      <w:tr w:rsidR="00B873AF" w14:paraId="5134235F" w14:textId="77777777">
        <w:trPr>
          <w:trHeight w:val="57"/>
        </w:trPr>
        <w:tc>
          <w:tcPr>
            <w:tcW w:w="733" w:type="dxa"/>
            <w:tcBorders>
              <w:top w:val="nil"/>
              <w:left w:val="nil"/>
              <w:bottom w:val="nil"/>
              <w:right w:val="nil"/>
            </w:tcBorders>
            <w:shd w:val="clear" w:color="auto" w:fill="FFFFFF"/>
            <w:vAlign w:val="center"/>
          </w:tcPr>
          <w:p w14:paraId="243B6695" w14:textId="77777777" w:rsidR="00B873AF" w:rsidRDefault="00000000">
            <w:pPr>
              <w:pStyle w:val="TableText0"/>
              <w:rPr>
                <w:rFonts w:hint="eastAsia"/>
              </w:rPr>
            </w:pPr>
            <w:r>
              <w:rPr>
                <w:rFonts w:hint="eastAsia"/>
              </w:rPr>
              <w:t>4</w:t>
            </w:r>
          </w:p>
        </w:tc>
        <w:tc>
          <w:tcPr>
            <w:tcW w:w="2581" w:type="dxa"/>
            <w:tcBorders>
              <w:top w:val="nil"/>
              <w:left w:val="nil"/>
              <w:bottom w:val="nil"/>
              <w:right w:val="nil"/>
            </w:tcBorders>
            <w:shd w:val="clear" w:color="auto" w:fill="FFFFFF"/>
            <w:vAlign w:val="center"/>
          </w:tcPr>
          <w:p w14:paraId="15DB348E" w14:textId="77777777" w:rsidR="00B873AF" w:rsidRDefault="00000000">
            <w:pPr>
              <w:pStyle w:val="TableText0"/>
              <w:rPr>
                <w:rFonts w:hint="eastAsia"/>
              </w:rPr>
            </w:pPr>
            <w:r>
              <w:rPr>
                <w:rFonts w:hint="eastAsia"/>
              </w:rPr>
              <w:t>Daily CMATS + 1 CBT-I</w:t>
            </w:r>
          </w:p>
        </w:tc>
        <w:tc>
          <w:tcPr>
            <w:tcW w:w="1710" w:type="dxa"/>
            <w:tcBorders>
              <w:top w:val="nil"/>
              <w:left w:val="nil"/>
              <w:bottom w:val="nil"/>
              <w:right w:val="nil"/>
            </w:tcBorders>
            <w:shd w:val="clear" w:color="auto" w:fill="FFFFFF"/>
            <w:vAlign w:val="center"/>
          </w:tcPr>
          <w:p w14:paraId="157BD792" w14:textId="77777777" w:rsidR="00B873AF" w:rsidRDefault="00000000">
            <w:pPr>
              <w:pStyle w:val="TableText0"/>
              <w:rPr>
                <w:rFonts w:hint="eastAsia"/>
              </w:rPr>
            </w:pPr>
            <w:r>
              <w:rPr>
                <w:rFonts w:hint="eastAsia"/>
              </w:rPr>
              <w:t>120 minutes</w:t>
            </w:r>
          </w:p>
        </w:tc>
        <w:tc>
          <w:tcPr>
            <w:tcW w:w="4914" w:type="dxa"/>
            <w:tcBorders>
              <w:top w:val="nil"/>
              <w:left w:val="nil"/>
              <w:bottom w:val="nil"/>
              <w:right w:val="nil"/>
            </w:tcBorders>
            <w:shd w:val="clear" w:color="auto" w:fill="FFFFFF"/>
            <w:vAlign w:val="center"/>
          </w:tcPr>
          <w:p w14:paraId="4B09C76B" w14:textId="77777777" w:rsidR="00B873AF" w:rsidRDefault="00000000">
            <w:pPr>
              <w:pStyle w:val="TableText0"/>
              <w:rPr>
                <w:rFonts w:hint="eastAsia"/>
              </w:rPr>
            </w:pPr>
            <w:r>
              <w:rPr>
                <w:rFonts w:hint="eastAsia"/>
              </w:rPr>
              <w:t>Relaxation Training (RT) integration with CMATS Phase 1.</w:t>
            </w:r>
          </w:p>
        </w:tc>
      </w:tr>
      <w:tr w:rsidR="00B873AF" w14:paraId="1CCFDD69" w14:textId="77777777">
        <w:trPr>
          <w:trHeight w:val="57"/>
        </w:trPr>
        <w:tc>
          <w:tcPr>
            <w:tcW w:w="733" w:type="dxa"/>
            <w:tcBorders>
              <w:top w:val="nil"/>
              <w:left w:val="nil"/>
              <w:bottom w:val="nil"/>
              <w:right w:val="nil"/>
            </w:tcBorders>
            <w:shd w:val="clear" w:color="auto" w:fill="FFFFFF"/>
            <w:vAlign w:val="center"/>
          </w:tcPr>
          <w:p w14:paraId="583DC2A3" w14:textId="77777777" w:rsidR="00B873AF" w:rsidRDefault="00000000">
            <w:pPr>
              <w:pStyle w:val="TableText0"/>
              <w:rPr>
                <w:rFonts w:hint="eastAsia"/>
              </w:rPr>
            </w:pPr>
            <w:r>
              <w:rPr>
                <w:rFonts w:hint="eastAsia"/>
              </w:rPr>
              <w:t>5</w:t>
            </w:r>
          </w:p>
        </w:tc>
        <w:tc>
          <w:tcPr>
            <w:tcW w:w="2581" w:type="dxa"/>
            <w:tcBorders>
              <w:top w:val="nil"/>
              <w:left w:val="nil"/>
              <w:bottom w:val="nil"/>
              <w:right w:val="nil"/>
            </w:tcBorders>
            <w:shd w:val="clear" w:color="auto" w:fill="FFFFFF"/>
            <w:vAlign w:val="center"/>
          </w:tcPr>
          <w:p w14:paraId="5460B9DC" w14:textId="77777777" w:rsidR="00B873AF" w:rsidRDefault="00000000">
            <w:pPr>
              <w:pStyle w:val="TableText0"/>
              <w:rPr>
                <w:rFonts w:hint="eastAsia"/>
              </w:rPr>
            </w:pPr>
            <w:r>
              <w:rPr>
                <w:rFonts w:hint="eastAsia"/>
              </w:rPr>
              <w:t>Daily CMATS + 1 CBT-I</w:t>
            </w:r>
          </w:p>
        </w:tc>
        <w:tc>
          <w:tcPr>
            <w:tcW w:w="1710" w:type="dxa"/>
            <w:tcBorders>
              <w:top w:val="nil"/>
              <w:left w:val="nil"/>
              <w:bottom w:val="nil"/>
              <w:right w:val="nil"/>
            </w:tcBorders>
            <w:shd w:val="clear" w:color="auto" w:fill="FFFFFF"/>
            <w:vAlign w:val="center"/>
          </w:tcPr>
          <w:p w14:paraId="1DC7142D" w14:textId="77777777" w:rsidR="00B873AF" w:rsidRDefault="00000000">
            <w:pPr>
              <w:pStyle w:val="TableText0"/>
              <w:rPr>
                <w:rFonts w:hint="eastAsia"/>
              </w:rPr>
            </w:pPr>
            <w:r>
              <w:rPr>
                <w:rFonts w:hint="eastAsia"/>
              </w:rPr>
              <w:t>120 minutes</w:t>
            </w:r>
          </w:p>
        </w:tc>
        <w:tc>
          <w:tcPr>
            <w:tcW w:w="4914" w:type="dxa"/>
            <w:tcBorders>
              <w:top w:val="nil"/>
              <w:left w:val="nil"/>
              <w:bottom w:val="nil"/>
              <w:right w:val="nil"/>
            </w:tcBorders>
            <w:shd w:val="clear" w:color="auto" w:fill="FFFFFF"/>
            <w:vAlign w:val="center"/>
          </w:tcPr>
          <w:p w14:paraId="795DC15C" w14:textId="77777777" w:rsidR="00B873AF" w:rsidRDefault="00000000">
            <w:pPr>
              <w:pStyle w:val="TableText0"/>
              <w:rPr>
                <w:rFonts w:hint="eastAsia"/>
              </w:rPr>
            </w:pPr>
            <w:r>
              <w:rPr>
                <w:rFonts w:hint="eastAsia"/>
              </w:rPr>
              <w:t>Relapse Prevention and Maintenance Strategies.</w:t>
            </w:r>
          </w:p>
        </w:tc>
      </w:tr>
      <w:tr w:rsidR="00B873AF" w14:paraId="2B5CA56C" w14:textId="77777777">
        <w:trPr>
          <w:trHeight w:val="57"/>
        </w:trPr>
        <w:tc>
          <w:tcPr>
            <w:tcW w:w="733" w:type="dxa"/>
            <w:tcBorders>
              <w:top w:val="nil"/>
              <w:left w:val="nil"/>
              <w:bottom w:val="single" w:sz="12" w:space="0" w:color="000000"/>
              <w:right w:val="nil"/>
            </w:tcBorders>
            <w:shd w:val="clear" w:color="auto" w:fill="FFFFFF"/>
            <w:vAlign w:val="center"/>
          </w:tcPr>
          <w:p w14:paraId="6D6DC9B4" w14:textId="77777777" w:rsidR="00B873AF" w:rsidRDefault="00000000">
            <w:pPr>
              <w:pStyle w:val="TableText0"/>
              <w:rPr>
                <w:rFonts w:hint="eastAsia"/>
              </w:rPr>
            </w:pPr>
            <w:r>
              <w:rPr>
                <w:rFonts w:hint="eastAsia"/>
              </w:rPr>
              <w:t>6</w:t>
            </w:r>
          </w:p>
        </w:tc>
        <w:tc>
          <w:tcPr>
            <w:tcW w:w="2581" w:type="dxa"/>
            <w:tcBorders>
              <w:top w:val="nil"/>
              <w:left w:val="nil"/>
              <w:bottom w:val="single" w:sz="12" w:space="0" w:color="000000"/>
              <w:right w:val="nil"/>
            </w:tcBorders>
            <w:shd w:val="clear" w:color="auto" w:fill="FFFFFF"/>
            <w:vAlign w:val="center"/>
          </w:tcPr>
          <w:p w14:paraId="27DFDFF3" w14:textId="77777777" w:rsidR="00B873AF" w:rsidRDefault="00000000">
            <w:pPr>
              <w:pStyle w:val="TableText0"/>
              <w:rPr>
                <w:rFonts w:hint="eastAsia"/>
              </w:rPr>
            </w:pPr>
            <w:r>
              <w:rPr>
                <w:rFonts w:hint="eastAsia"/>
              </w:rPr>
              <w:t>Daily CMATS + 1 CBT-I</w:t>
            </w:r>
          </w:p>
        </w:tc>
        <w:tc>
          <w:tcPr>
            <w:tcW w:w="1710" w:type="dxa"/>
            <w:tcBorders>
              <w:top w:val="nil"/>
              <w:left w:val="nil"/>
              <w:bottom w:val="single" w:sz="12" w:space="0" w:color="000000"/>
              <w:right w:val="nil"/>
            </w:tcBorders>
            <w:shd w:val="clear" w:color="auto" w:fill="FFFFFF"/>
            <w:vAlign w:val="center"/>
          </w:tcPr>
          <w:p w14:paraId="529F33EF" w14:textId="77777777" w:rsidR="00B873AF" w:rsidRDefault="00000000">
            <w:pPr>
              <w:pStyle w:val="TableText0"/>
              <w:rPr>
                <w:rFonts w:hint="eastAsia"/>
              </w:rPr>
            </w:pPr>
            <w:r>
              <w:rPr>
                <w:rFonts w:hint="eastAsia"/>
              </w:rPr>
              <w:t>120 minutes</w:t>
            </w:r>
          </w:p>
        </w:tc>
        <w:tc>
          <w:tcPr>
            <w:tcW w:w="4914" w:type="dxa"/>
            <w:tcBorders>
              <w:top w:val="nil"/>
              <w:left w:val="nil"/>
              <w:bottom w:val="single" w:sz="12" w:space="0" w:color="000000"/>
              <w:right w:val="nil"/>
            </w:tcBorders>
            <w:shd w:val="clear" w:color="auto" w:fill="FFFFFF"/>
            <w:vAlign w:val="center"/>
          </w:tcPr>
          <w:p w14:paraId="40983CAE" w14:textId="77777777" w:rsidR="00B873AF" w:rsidRDefault="00000000">
            <w:pPr>
              <w:pStyle w:val="TableText0"/>
              <w:rPr>
                <w:rFonts w:hint="eastAsia"/>
              </w:rPr>
            </w:pPr>
            <w:r>
              <w:rPr>
                <w:rFonts w:hint="eastAsia"/>
              </w:rPr>
              <w:t>Review, Final Assessment, and Long-term Plan.</w:t>
            </w:r>
          </w:p>
        </w:tc>
      </w:tr>
    </w:tbl>
    <w:p w14:paraId="1C42DB48" w14:textId="77777777" w:rsidR="00B873AF" w:rsidRDefault="00B873AF">
      <w:pPr>
        <w:pStyle w:val="Bodytextwithindent"/>
        <w:ind w:firstLine="0"/>
        <w:sectPr w:rsidR="00B873AF">
          <w:type w:val="continuous"/>
          <w:pgSz w:w="11906" w:h="16838"/>
          <w:pgMar w:top="1644" w:right="907" w:bottom="1531" w:left="907" w:header="680" w:footer="680" w:gutter="0"/>
          <w:cols w:space="425"/>
          <w:titlePg/>
        </w:sectPr>
      </w:pPr>
    </w:p>
    <w:p w14:paraId="4BE311BA" w14:textId="77777777" w:rsidR="00B873AF" w:rsidRDefault="00000000">
      <w:pPr>
        <w:pStyle w:val="21"/>
      </w:pPr>
      <w:r>
        <w:rPr>
          <w:rFonts w:hint="eastAsia"/>
        </w:rPr>
        <w:t>4.2 Results</w:t>
      </w:r>
    </w:p>
    <w:p w14:paraId="612BEBBA" w14:textId="77777777" w:rsidR="00B873AF" w:rsidRDefault="00000000">
      <w:pPr>
        <w:pStyle w:val="31"/>
      </w:pPr>
      <w:r>
        <w:rPr>
          <w:rFonts w:hint="eastAsia"/>
        </w:rPr>
        <w:t>4.2.1 Objective Sleep Parameters</w:t>
      </w:r>
    </w:p>
    <w:p w14:paraId="6CFF32A2" w14:textId="77777777" w:rsidR="00B873AF" w:rsidRDefault="00000000">
      <w:pPr>
        <w:pStyle w:val="Bodytextwithindent"/>
        <w:ind w:firstLine="0"/>
      </w:pPr>
      <w:r>
        <w:rPr>
          <w:rFonts w:hint="eastAsia"/>
        </w:rPr>
        <w:t xml:space="preserve">Table 2 shows the changes in key sleep indicators from baseline to post-intervention in the five groups. Multivariate </w:t>
      </w:r>
      <w:r>
        <w:rPr>
          <w:rFonts w:hint="eastAsia"/>
        </w:rPr>
        <w:t>analysis of variance (ANOVA) showed that there were significant differences in the intervention effects among the groups: The Full-CMATS group was significantly better than the control group and all single-modal groups in terms of the improvement of SL, TST and SE (p&lt;0.01). The SL in the Full-CMATS group decreased by an average of 45.8 minutes and the SE increased by an average of 14.0%.</w:t>
      </w:r>
    </w:p>
    <w:p w14:paraId="1546588E" w14:textId="77777777" w:rsidR="00B873AF" w:rsidRDefault="00B873AF">
      <w:pPr>
        <w:pStyle w:val="Bodytextwithindent"/>
        <w:sectPr w:rsidR="00B873AF">
          <w:type w:val="continuous"/>
          <w:pgSz w:w="11906" w:h="16838"/>
          <w:pgMar w:top="1644" w:right="907" w:bottom="1531" w:left="907" w:header="680" w:footer="680" w:gutter="0"/>
          <w:cols w:num="2" w:space="720" w:equalWidth="0">
            <w:col w:w="4876" w:space="340"/>
            <w:col w:w="4876"/>
          </w:cols>
          <w:titlePg/>
        </w:sectPr>
      </w:pPr>
    </w:p>
    <w:p w14:paraId="46C0020C" w14:textId="77777777" w:rsidR="00B873AF" w:rsidRDefault="00000000">
      <w:pPr>
        <w:pStyle w:val="Captions"/>
        <w:rPr>
          <w:rFonts w:eastAsia="宋体"/>
          <w:lang w:val="en-US" w:eastAsia="zh-CN"/>
        </w:rPr>
      </w:pPr>
      <w:r>
        <w:rPr>
          <w:rFonts w:hint="eastAsia"/>
        </w:rPr>
        <w:t xml:space="preserve">Table 2. </w:t>
      </w:r>
      <w:r>
        <w:rPr>
          <w:rFonts w:eastAsia="宋体" w:hint="eastAsia"/>
          <w:lang w:val="en-US" w:eastAsia="zh-CN"/>
        </w:rPr>
        <w:t>Comparison of Objective Sleep Parameters (PSG) Before and After Intervention</w:t>
      </w:r>
    </w:p>
    <w:tbl>
      <w:tblPr>
        <w:tblStyle w:val="TableNormal"/>
        <w:tblW w:w="9630" w:type="dxa"/>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345"/>
        <w:gridCol w:w="1333"/>
        <w:gridCol w:w="1460"/>
        <w:gridCol w:w="1965"/>
        <w:gridCol w:w="1272"/>
        <w:gridCol w:w="1087"/>
        <w:gridCol w:w="1168"/>
      </w:tblGrid>
      <w:tr w:rsidR="00B873AF" w14:paraId="4A8757E8" w14:textId="77777777">
        <w:trPr>
          <w:trHeight w:val="23"/>
        </w:trPr>
        <w:tc>
          <w:tcPr>
            <w:tcW w:w="1345" w:type="dxa"/>
            <w:tcBorders>
              <w:top w:val="single" w:sz="12" w:space="0" w:color="000000"/>
              <w:left w:val="nil"/>
              <w:bottom w:val="single" w:sz="4" w:space="0" w:color="000000"/>
              <w:right w:val="nil"/>
              <w:tl2br w:val="nil"/>
            </w:tcBorders>
            <w:shd w:val="clear" w:color="auto" w:fill="FFFFFF"/>
          </w:tcPr>
          <w:p w14:paraId="4F1B649E" w14:textId="77777777" w:rsidR="00B873AF" w:rsidRDefault="00B873AF">
            <w:pPr>
              <w:pStyle w:val="TableText0"/>
              <w:rPr>
                <w:rFonts w:hint="eastAsia"/>
                <w:color w:val="000000"/>
              </w:rPr>
            </w:pPr>
          </w:p>
          <w:p w14:paraId="68EFEE91" w14:textId="77777777" w:rsidR="00B873AF" w:rsidRDefault="00000000">
            <w:pPr>
              <w:pStyle w:val="TableText0"/>
              <w:rPr>
                <w:rFonts w:hint="eastAsia"/>
                <w:color w:val="000000"/>
              </w:rPr>
            </w:pPr>
            <w:r>
              <w:rPr>
                <w:color w:val="000000"/>
              </w:rPr>
              <w:t>Metric</w:t>
            </w:r>
          </w:p>
        </w:tc>
        <w:tc>
          <w:tcPr>
            <w:tcW w:w="1333" w:type="dxa"/>
            <w:tcBorders>
              <w:top w:val="single" w:sz="12" w:space="0" w:color="000000"/>
              <w:left w:val="nil"/>
              <w:bottom w:val="single" w:sz="4" w:space="0" w:color="000000"/>
              <w:right w:val="nil"/>
            </w:tcBorders>
            <w:shd w:val="clear" w:color="auto" w:fill="FFFFFF"/>
          </w:tcPr>
          <w:p w14:paraId="57A02377" w14:textId="77777777" w:rsidR="00B873AF" w:rsidRDefault="00B873AF">
            <w:pPr>
              <w:pStyle w:val="TableText0"/>
              <w:rPr>
                <w:rFonts w:hint="eastAsia"/>
                <w:color w:val="000000"/>
              </w:rPr>
            </w:pPr>
          </w:p>
          <w:p w14:paraId="357D708F" w14:textId="77777777" w:rsidR="00B873AF" w:rsidRDefault="00000000">
            <w:pPr>
              <w:pStyle w:val="TableText0"/>
              <w:rPr>
                <w:rFonts w:hint="eastAsia"/>
                <w:color w:val="000000"/>
              </w:rPr>
            </w:pPr>
            <w:r>
              <w:rPr>
                <w:color w:val="000000"/>
              </w:rPr>
              <w:t>Group</w:t>
            </w:r>
          </w:p>
        </w:tc>
        <w:tc>
          <w:tcPr>
            <w:tcW w:w="1460" w:type="dxa"/>
            <w:tcBorders>
              <w:top w:val="single" w:sz="12" w:space="0" w:color="000000"/>
              <w:left w:val="nil"/>
              <w:bottom w:val="single" w:sz="4" w:space="0" w:color="000000"/>
              <w:right w:val="nil"/>
            </w:tcBorders>
            <w:shd w:val="clear" w:color="auto" w:fill="FFFFFF"/>
          </w:tcPr>
          <w:p w14:paraId="2854001B" w14:textId="77777777" w:rsidR="00B873AF" w:rsidRDefault="00B873AF">
            <w:pPr>
              <w:pStyle w:val="TableText0"/>
              <w:rPr>
                <w:rFonts w:hint="eastAsia"/>
                <w:color w:val="000000"/>
              </w:rPr>
            </w:pPr>
          </w:p>
          <w:p w14:paraId="3994E3B3" w14:textId="77777777" w:rsidR="00B873AF" w:rsidRDefault="00000000">
            <w:pPr>
              <w:pStyle w:val="TableText0"/>
              <w:rPr>
                <w:rFonts w:hint="eastAsia"/>
                <w:color w:val="000000"/>
              </w:rPr>
            </w:pPr>
            <w:r>
              <w:rPr>
                <w:color w:val="000000"/>
              </w:rPr>
              <w:t>Baseline</w:t>
            </w:r>
          </w:p>
          <w:p w14:paraId="1FF02657" w14:textId="77777777" w:rsidR="00B873AF" w:rsidRDefault="00000000">
            <w:pPr>
              <w:pStyle w:val="TableText0"/>
              <w:rPr>
                <w:rFonts w:hint="eastAsia"/>
                <w:color w:val="000000"/>
              </w:rPr>
            </w:pPr>
            <w:r>
              <w:rPr>
                <w:color w:val="000000"/>
              </w:rPr>
              <w:t>(</w:t>
            </w:r>
            <w:r>
              <w:rPr>
                <w:color w:val="000000"/>
              </w:rPr>
              <w:ruby>
                <w:rubyPr>
                  <w:rubyAlign w:val="left"/>
                  <w:hps w:val="23"/>
                  <w:hpsRaise w:val="0"/>
                  <w:hpsBaseText w:val="21"/>
                  <w:lid w:val="en-US"/>
                </w:rubyPr>
                <w:rt>
                  <w:r>
                    <w:rPr>
                      <w:color w:val="000000"/>
                    </w:rPr>
                    <w:t>ˉ</w:t>
                  </w:r>
                </w:rt>
                <w:rubyBase>
                  <w:r>
                    <w:rPr>
                      <w:color w:val="000000"/>
                    </w:rPr>
                    <w:t>x</w:t>
                  </w:r>
                </w:rubyBase>
              </w:ruby>
            </w:r>
            <w:r>
              <w:rPr>
                <w:color w:val="000000"/>
              </w:rPr>
              <w:t xml:space="preserve"> ± s)</w:t>
            </w:r>
          </w:p>
        </w:tc>
        <w:tc>
          <w:tcPr>
            <w:tcW w:w="1965" w:type="dxa"/>
            <w:tcBorders>
              <w:top w:val="single" w:sz="12" w:space="0" w:color="000000"/>
              <w:left w:val="nil"/>
              <w:bottom w:val="single" w:sz="4" w:space="0" w:color="000000"/>
              <w:right w:val="nil"/>
            </w:tcBorders>
            <w:shd w:val="clear" w:color="auto" w:fill="FFFFFF"/>
          </w:tcPr>
          <w:p w14:paraId="5AFBA90D" w14:textId="77777777" w:rsidR="00B873AF" w:rsidRDefault="00000000">
            <w:pPr>
              <w:pStyle w:val="TableText0"/>
              <w:rPr>
                <w:rFonts w:hint="eastAsia"/>
                <w:color w:val="000000"/>
              </w:rPr>
            </w:pPr>
            <w:r>
              <w:rPr>
                <w:color w:val="000000"/>
              </w:rPr>
              <w:t>Post-</w:t>
            </w:r>
          </w:p>
          <w:p w14:paraId="03914293" w14:textId="77777777" w:rsidR="00B873AF" w:rsidRDefault="00000000">
            <w:pPr>
              <w:pStyle w:val="TableText0"/>
              <w:rPr>
                <w:rFonts w:hint="eastAsia"/>
                <w:color w:val="000000"/>
              </w:rPr>
            </w:pPr>
            <w:r>
              <w:rPr>
                <w:color w:val="000000"/>
              </w:rPr>
              <w:t>Intervention (</w:t>
            </w:r>
          </w:p>
          <w:p w14:paraId="76B3B5A0" w14:textId="77777777" w:rsidR="00B873AF" w:rsidRDefault="00000000">
            <w:pPr>
              <w:pStyle w:val="TableText0"/>
              <w:rPr>
                <w:rFonts w:hint="eastAsia"/>
                <w:color w:val="000000"/>
              </w:rPr>
            </w:pPr>
            <w:r>
              <w:rPr>
                <w:color w:val="000000"/>
              </w:rPr>
              <w:ruby>
                <w:rubyPr>
                  <w:rubyAlign w:val="left"/>
                  <w:hps w:val="23"/>
                  <w:hpsRaise w:val="0"/>
                  <w:hpsBaseText w:val="21"/>
                  <w:lid w:val="en-US"/>
                </w:rubyPr>
                <w:rt>
                  <w:r>
                    <w:rPr>
                      <w:color w:val="000000"/>
                    </w:rPr>
                    <w:t>ˉ</w:t>
                  </w:r>
                </w:rt>
                <w:rubyBase>
                  <w:r>
                    <w:rPr>
                      <w:color w:val="000000"/>
                    </w:rPr>
                    <w:t>x</w:t>
                  </w:r>
                </w:rubyBase>
              </w:ruby>
            </w:r>
            <w:r>
              <w:rPr>
                <w:color w:val="000000"/>
              </w:rPr>
              <w:t xml:space="preserve"> ± s)</w:t>
            </w:r>
          </w:p>
        </w:tc>
        <w:tc>
          <w:tcPr>
            <w:tcW w:w="1272" w:type="dxa"/>
            <w:tcBorders>
              <w:top w:val="single" w:sz="12" w:space="0" w:color="000000"/>
              <w:left w:val="nil"/>
              <w:bottom w:val="single" w:sz="4" w:space="0" w:color="000000"/>
              <w:right w:val="nil"/>
            </w:tcBorders>
            <w:shd w:val="clear" w:color="auto" w:fill="FFFFFF"/>
          </w:tcPr>
          <w:p w14:paraId="674BAC1D" w14:textId="77777777" w:rsidR="00B873AF" w:rsidRDefault="00B873AF">
            <w:pPr>
              <w:pStyle w:val="TableText0"/>
              <w:rPr>
                <w:rFonts w:hint="eastAsia"/>
                <w:color w:val="000000"/>
              </w:rPr>
            </w:pPr>
          </w:p>
          <w:p w14:paraId="5D16D170" w14:textId="77777777" w:rsidR="00B873AF" w:rsidRDefault="00000000">
            <w:pPr>
              <w:pStyle w:val="TableText0"/>
              <w:rPr>
                <w:rFonts w:hint="eastAsia"/>
                <w:color w:val="000000"/>
              </w:rPr>
            </w:pPr>
            <w:r>
              <w:rPr>
                <w:color w:val="000000"/>
              </w:rPr>
              <w:t>Δ</w:t>
            </w:r>
          </w:p>
          <w:p w14:paraId="4F6DAE06" w14:textId="77777777" w:rsidR="00B873AF" w:rsidRDefault="00000000">
            <w:pPr>
              <w:pStyle w:val="TableText0"/>
              <w:rPr>
                <w:rFonts w:hint="eastAsia"/>
                <w:color w:val="000000"/>
              </w:rPr>
            </w:pPr>
            <w:r>
              <w:rPr>
                <w:color w:val="000000"/>
              </w:rPr>
              <w:t>Change</w:t>
            </w:r>
          </w:p>
        </w:tc>
        <w:tc>
          <w:tcPr>
            <w:tcW w:w="1087" w:type="dxa"/>
            <w:tcBorders>
              <w:top w:val="single" w:sz="12" w:space="0" w:color="000000"/>
              <w:left w:val="nil"/>
              <w:bottom w:val="single" w:sz="4" w:space="0" w:color="000000"/>
              <w:right w:val="nil"/>
            </w:tcBorders>
            <w:shd w:val="clear" w:color="auto" w:fill="FFFFFF"/>
          </w:tcPr>
          <w:p w14:paraId="3DB9EB14" w14:textId="77777777" w:rsidR="00B873AF" w:rsidRDefault="00B873AF">
            <w:pPr>
              <w:pStyle w:val="TableText0"/>
              <w:rPr>
                <w:rFonts w:hint="eastAsia"/>
                <w:color w:val="000000"/>
              </w:rPr>
            </w:pPr>
          </w:p>
          <w:p w14:paraId="207C425F" w14:textId="77777777" w:rsidR="00B873AF" w:rsidRDefault="00000000">
            <w:pPr>
              <w:pStyle w:val="TableText0"/>
              <w:rPr>
                <w:rFonts w:hint="eastAsia"/>
                <w:color w:val="000000"/>
              </w:rPr>
            </w:pPr>
            <w:r>
              <w:rPr>
                <w:color w:val="000000"/>
              </w:rPr>
              <w:t>F-value</w:t>
            </w:r>
          </w:p>
        </w:tc>
        <w:tc>
          <w:tcPr>
            <w:tcW w:w="1168" w:type="dxa"/>
            <w:tcBorders>
              <w:top w:val="single" w:sz="12" w:space="0" w:color="000000"/>
              <w:left w:val="nil"/>
              <w:bottom w:val="single" w:sz="4" w:space="0" w:color="000000"/>
              <w:right w:val="nil"/>
            </w:tcBorders>
            <w:shd w:val="clear" w:color="auto" w:fill="FFFFFF"/>
          </w:tcPr>
          <w:p w14:paraId="5A0B03C3" w14:textId="77777777" w:rsidR="00B873AF" w:rsidRDefault="00B873AF">
            <w:pPr>
              <w:pStyle w:val="TableText0"/>
              <w:rPr>
                <w:rFonts w:hint="eastAsia"/>
                <w:color w:val="000000"/>
              </w:rPr>
            </w:pPr>
          </w:p>
          <w:p w14:paraId="739C3417" w14:textId="77777777" w:rsidR="00B873AF" w:rsidRDefault="00000000">
            <w:pPr>
              <w:pStyle w:val="TableText0"/>
              <w:rPr>
                <w:rFonts w:hint="eastAsia"/>
                <w:color w:val="000000"/>
              </w:rPr>
            </w:pPr>
            <w:r>
              <w:rPr>
                <w:color w:val="000000"/>
              </w:rPr>
              <w:t>p-value</w:t>
            </w:r>
          </w:p>
        </w:tc>
      </w:tr>
      <w:tr w:rsidR="00B873AF" w14:paraId="27C7C1FD" w14:textId="77777777">
        <w:trPr>
          <w:trHeight w:val="23"/>
        </w:trPr>
        <w:tc>
          <w:tcPr>
            <w:tcW w:w="1345" w:type="dxa"/>
            <w:tcBorders>
              <w:top w:val="single" w:sz="4" w:space="0" w:color="000000"/>
              <w:left w:val="nil"/>
              <w:bottom w:val="nil"/>
              <w:right w:val="nil"/>
            </w:tcBorders>
            <w:shd w:val="clear" w:color="auto" w:fill="FFFFFF"/>
          </w:tcPr>
          <w:p w14:paraId="45443B5E" w14:textId="77777777" w:rsidR="00B873AF" w:rsidRDefault="00B873AF">
            <w:pPr>
              <w:pStyle w:val="TableText0"/>
              <w:rPr>
                <w:rFonts w:hint="eastAsia"/>
                <w:color w:val="000000"/>
              </w:rPr>
            </w:pPr>
          </w:p>
        </w:tc>
        <w:tc>
          <w:tcPr>
            <w:tcW w:w="1333" w:type="dxa"/>
            <w:tcBorders>
              <w:top w:val="single" w:sz="4" w:space="0" w:color="000000"/>
              <w:left w:val="nil"/>
              <w:bottom w:val="nil"/>
              <w:right w:val="nil"/>
            </w:tcBorders>
            <w:shd w:val="clear" w:color="auto" w:fill="FFFFFF"/>
          </w:tcPr>
          <w:p w14:paraId="65A6680D" w14:textId="77777777" w:rsidR="00B873AF" w:rsidRDefault="00B873AF">
            <w:pPr>
              <w:pStyle w:val="TableText0"/>
              <w:rPr>
                <w:rFonts w:hint="eastAsia"/>
                <w:color w:val="000000"/>
              </w:rPr>
            </w:pPr>
          </w:p>
          <w:p w14:paraId="3BF2B1EF" w14:textId="77777777" w:rsidR="00B873AF" w:rsidRDefault="00000000">
            <w:pPr>
              <w:pStyle w:val="TableText0"/>
              <w:rPr>
                <w:rFonts w:hint="eastAsia"/>
                <w:color w:val="000000"/>
              </w:rPr>
            </w:pPr>
            <w:r>
              <w:rPr>
                <w:color w:val="000000"/>
              </w:rPr>
              <w:t>V-CMATS</w:t>
            </w:r>
          </w:p>
        </w:tc>
        <w:tc>
          <w:tcPr>
            <w:tcW w:w="1460" w:type="dxa"/>
            <w:tcBorders>
              <w:top w:val="single" w:sz="4" w:space="0" w:color="000000"/>
              <w:left w:val="nil"/>
              <w:bottom w:val="nil"/>
              <w:right w:val="nil"/>
            </w:tcBorders>
            <w:shd w:val="clear" w:color="auto" w:fill="FFFFFF"/>
          </w:tcPr>
          <w:p w14:paraId="68A0F749" w14:textId="48FA4DA1" w:rsidR="00B873AF" w:rsidRDefault="00000000">
            <w:pPr>
              <w:pStyle w:val="TableText0"/>
              <w:rPr>
                <w:rFonts w:hint="eastAsia"/>
                <w:color w:val="000000"/>
              </w:rPr>
            </w:pPr>
            <w:r>
              <w:rPr>
                <w:color w:val="000000"/>
              </w:rPr>
              <w:t>71.0 ± 5.0</w:t>
            </w:r>
          </w:p>
        </w:tc>
        <w:tc>
          <w:tcPr>
            <w:tcW w:w="1965" w:type="dxa"/>
            <w:tcBorders>
              <w:top w:val="single" w:sz="4" w:space="0" w:color="000000"/>
              <w:left w:val="nil"/>
              <w:bottom w:val="nil"/>
              <w:right w:val="nil"/>
            </w:tcBorders>
            <w:shd w:val="clear" w:color="auto" w:fill="FFFFFF"/>
          </w:tcPr>
          <w:p w14:paraId="023BA715" w14:textId="77777777" w:rsidR="00B873AF" w:rsidRDefault="00B873AF">
            <w:pPr>
              <w:pStyle w:val="TableText0"/>
              <w:rPr>
                <w:rFonts w:hint="eastAsia"/>
                <w:color w:val="000000"/>
              </w:rPr>
            </w:pPr>
          </w:p>
          <w:p w14:paraId="458571E6" w14:textId="77777777" w:rsidR="00B873AF" w:rsidRDefault="00000000">
            <w:pPr>
              <w:pStyle w:val="TableText0"/>
              <w:rPr>
                <w:rFonts w:hint="eastAsia"/>
                <w:color w:val="000000"/>
              </w:rPr>
            </w:pPr>
            <w:r>
              <w:rPr>
                <w:color w:val="000000"/>
              </w:rPr>
              <w:t>76.5 ± 4.5</w:t>
            </w:r>
          </w:p>
        </w:tc>
        <w:tc>
          <w:tcPr>
            <w:tcW w:w="1272" w:type="dxa"/>
            <w:tcBorders>
              <w:top w:val="single" w:sz="4" w:space="0" w:color="000000"/>
              <w:left w:val="nil"/>
              <w:bottom w:val="nil"/>
              <w:right w:val="nil"/>
            </w:tcBorders>
            <w:shd w:val="clear" w:color="auto" w:fill="FFFFFF"/>
          </w:tcPr>
          <w:p w14:paraId="2B6F50E9" w14:textId="4580E265" w:rsidR="00B873AF" w:rsidRDefault="006B303C">
            <w:pPr>
              <w:pStyle w:val="TableText0"/>
              <w:rPr>
                <w:rFonts w:hint="eastAsia"/>
                <w:color w:val="000000"/>
              </w:rPr>
            </w:pPr>
            <w:r>
              <w:rPr>
                <w:noProof/>
              </w:rPr>
              <mc:AlternateContent>
                <mc:Choice Requires="wps">
                  <w:drawing>
                    <wp:anchor distT="0" distB="0" distL="114300" distR="114300" simplePos="0" relativeHeight="251661312" behindDoc="0" locked="0" layoutInCell="1" allowOverlap="1" wp14:anchorId="2758C7CF" wp14:editId="2C2941A4">
                      <wp:simplePos x="0" y="0"/>
                      <wp:positionH relativeFrom="column">
                        <wp:posOffset>-3874770</wp:posOffset>
                      </wp:positionH>
                      <wp:positionV relativeFrom="page">
                        <wp:posOffset>-13335</wp:posOffset>
                      </wp:positionV>
                      <wp:extent cx="6407785" cy="0"/>
                      <wp:effectExtent l="0" t="0" r="0" b="0"/>
                      <wp:wrapNone/>
                      <wp:docPr id="4339716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ln>
                            </wps:spPr>
                            <wps:bodyPr/>
                          </wps:wsp>
                        </a:graphicData>
                      </a:graphic>
                    </wp:anchor>
                  </w:drawing>
                </mc:Choice>
                <mc:Fallback>
                  <w:pict>
                    <v:shapetype w14:anchorId="6E57705F" id="_x0000_t32" coordsize="21600,21600" o:spt="32" o:oned="t" path="m,l21600,21600e" filled="f">
                      <v:path arrowok="t" fillok="f" o:connecttype="none"/>
                      <o:lock v:ext="edit" shapetype="t"/>
                    </v:shapetype>
                    <v:shape id="AutoShape 5" o:spid="_x0000_s1026" type="#_x0000_t32" style="position:absolute;margin-left:-305.1pt;margin-top:-1.05pt;width:504.55pt;height:0;z-index:2516613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5rAEAAD8DAAAOAAAAZHJzL2Uyb0RvYy54bWysUsFu2zAMvQ/oPwi6L3aCrSmMOD2kaC/d&#10;FqDtBzCybAuVRYFUYufvJ6lJWrS3YT4Ipig+vvfI1e00WHHQxAZdLeezUgrtFDbGdbV8eb7/fiMF&#10;B3ANWHS6lkfN8nZ99W01+kovsEfbaBIRxHE1+lr2IfiqKFj1egCeodcuJlukAUIMqSsagjGiD7ZY&#10;lOV1MSI1nlBp5nh795aU64zftlqFP23LOghby8gt5JPyuUtnsV5B1RH43qgTDfgHFgMYF5teoO4g&#10;gNiT+QI1GEXI2IaZwqHAtjVKZw1Rzbz8pOapB6+zlmgO+4tN/P9g1e/Dxm0pUVeTe/KPqF5ZONz0&#10;4DqdCTwffRzcPFlVjJ6rS0kK2G9J7MZf2MQ3sA+YXZhaGhJk1CembPbxYraeglDx8vpHuVze/JRC&#10;nXMFVOdCTxweNA4i/dSSA4Hp+rBB5+JIkea5DRweOSRaUJ0LUleH98baPFnrxBi5L5ZlmSsYrWlS&#10;Nr1j6nYbS+IAaTnyl0XGzMdnhHvXvHWx7uRBkp12jKsdNsctnb2JU8p0ThuV1uBjnKvf9379FwAA&#10;//8DAFBLAwQUAAYACAAAACEA+pQALtwAAAAKAQAADwAAAGRycy9kb3ducmV2LnhtbEyPTU+DQBCG&#10;7yb+h82YeGsX0CKlLI2aeG6kXrwN7BRI2VnCbgv+e9d40Nt8PHnnmWK/mEFcaXK9ZQXxOgJB3Fjd&#10;c6vg4/i2ykA4j6xxsEwKvsjBvry9KTDXduZ3ula+FSGEXY4KOu/HXErXdGTQre1IHHYnOxn0oZ1a&#10;qSecQ7gZZBJFqTTYc7jQ4UivHTXn6mIUPD3qT4vpy6bezIejp1NXZYdFqfu75XkHwtPi/2D40Q/q&#10;UAan2l5YOzEoWKVxlAQ2VEkMIhAP22wLov4dyLKQ/18ovwEAAP//AwBQSwECLQAUAAYACAAAACEA&#10;toM4kv4AAADhAQAAEwAAAAAAAAAAAAAAAAAAAAAAW0NvbnRlbnRfVHlwZXNdLnhtbFBLAQItABQA&#10;BgAIAAAAIQA4/SH/1gAAAJQBAAALAAAAAAAAAAAAAAAAAC8BAABfcmVscy8ucmVsc1BLAQItABQA&#10;BgAIAAAAIQA+QJU5rAEAAD8DAAAOAAAAAAAAAAAAAAAAAC4CAABkcnMvZTJvRG9jLnhtbFBLAQIt&#10;ABQABgAIAAAAIQD6lAAu3AAAAAoBAAAPAAAAAAAAAAAAAAAAAAYEAABkcnMvZG93bnJldi54bWxQ&#10;SwUGAAAAAAQABADzAAAADwUAAAAA&#10;" strokeweight="1pt">
                      <w10:wrap anchory="page"/>
                    </v:shape>
                  </w:pict>
                </mc:Fallback>
              </mc:AlternateContent>
            </w:r>
          </w:p>
          <w:p w14:paraId="687FC8A5" w14:textId="77777777" w:rsidR="00B873AF" w:rsidRDefault="00000000">
            <w:pPr>
              <w:pStyle w:val="TableText0"/>
              <w:rPr>
                <w:rFonts w:hint="eastAsia"/>
                <w:color w:val="000000"/>
              </w:rPr>
            </w:pPr>
            <w:r>
              <w:rPr>
                <w:color w:val="000000"/>
              </w:rPr>
              <w:t>+5.5</w:t>
            </w:r>
          </w:p>
        </w:tc>
        <w:tc>
          <w:tcPr>
            <w:tcW w:w="1087" w:type="dxa"/>
            <w:tcBorders>
              <w:top w:val="single" w:sz="4" w:space="0" w:color="000000"/>
              <w:left w:val="nil"/>
              <w:bottom w:val="nil"/>
              <w:right w:val="nil"/>
            </w:tcBorders>
            <w:shd w:val="clear" w:color="auto" w:fill="FFFFFF"/>
          </w:tcPr>
          <w:p w14:paraId="09413F28" w14:textId="77777777" w:rsidR="00B873AF" w:rsidRDefault="00B873AF">
            <w:pPr>
              <w:pStyle w:val="TableText0"/>
              <w:rPr>
                <w:rFonts w:hint="eastAsia"/>
                <w:color w:val="000000"/>
              </w:rPr>
            </w:pPr>
          </w:p>
        </w:tc>
        <w:tc>
          <w:tcPr>
            <w:tcW w:w="1168" w:type="dxa"/>
            <w:tcBorders>
              <w:top w:val="single" w:sz="4" w:space="0" w:color="000000"/>
              <w:left w:val="nil"/>
              <w:bottom w:val="nil"/>
              <w:right w:val="nil"/>
            </w:tcBorders>
            <w:shd w:val="clear" w:color="auto" w:fill="FFFFFF"/>
          </w:tcPr>
          <w:p w14:paraId="27209383" w14:textId="77777777" w:rsidR="00B873AF" w:rsidRDefault="00B873AF">
            <w:pPr>
              <w:pStyle w:val="TableText0"/>
              <w:rPr>
                <w:rFonts w:hint="eastAsia"/>
                <w:color w:val="000000"/>
              </w:rPr>
            </w:pPr>
          </w:p>
        </w:tc>
      </w:tr>
      <w:tr w:rsidR="00B873AF" w14:paraId="3EEB6D0D" w14:textId="77777777">
        <w:trPr>
          <w:trHeight w:val="23"/>
        </w:trPr>
        <w:tc>
          <w:tcPr>
            <w:tcW w:w="1345" w:type="dxa"/>
            <w:tcBorders>
              <w:top w:val="nil"/>
              <w:left w:val="nil"/>
              <w:bottom w:val="nil"/>
              <w:right w:val="nil"/>
            </w:tcBorders>
            <w:shd w:val="clear" w:color="auto" w:fill="FFFFFF"/>
          </w:tcPr>
          <w:p w14:paraId="3569BFA2" w14:textId="77777777" w:rsidR="00B873AF" w:rsidRDefault="00B873AF">
            <w:pPr>
              <w:pStyle w:val="TableText0"/>
              <w:rPr>
                <w:rFonts w:hint="eastAsia"/>
                <w:color w:val="000000"/>
              </w:rPr>
            </w:pPr>
          </w:p>
        </w:tc>
        <w:tc>
          <w:tcPr>
            <w:tcW w:w="1333" w:type="dxa"/>
            <w:tcBorders>
              <w:top w:val="nil"/>
              <w:left w:val="nil"/>
              <w:bottom w:val="nil"/>
              <w:right w:val="nil"/>
            </w:tcBorders>
            <w:shd w:val="clear" w:color="auto" w:fill="FFFFFF"/>
          </w:tcPr>
          <w:p w14:paraId="34E97096" w14:textId="77777777" w:rsidR="00B873AF" w:rsidRDefault="00B873AF">
            <w:pPr>
              <w:pStyle w:val="TableText0"/>
              <w:rPr>
                <w:rFonts w:hint="eastAsia"/>
                <w:color w:val="000000"/>
              </w:rPr>
            </w:pPr>
          </w:p>
          <w:p w14:paraId="7A90EFF3" w14:textId="77777777" w:rsidR="00B873AF" w:rsidRDefault="00000000">
            <w:pPr>
              <w:pStyle w:val="TableText0"/>
              <w:rPr>
                <w:rFonts w:hint="eastAsia"/>
                <w:color w:val="000000"/>
              </w:rPr>
            </w:pPr>
            <w:r>
              <w:rPr>
                <w:color w:val="000000"/>
              </w:rPr>
              <w:t>H-CMATS</w:t>
            </w:r>
          </w:p>
        </w:tc>
        <w:tc>
          <w:tcPr>
            <w:tcW w:w="1460" w:type="dxa"/>
            <w:tcBorders>
              <w:top w:val="nil"/>
              <w:left w:val="nil"/>
              <w:bottom w:val="nil"/>
              <w:right w:val="nil"/>
            </w:tcBorders>
            <w:shd w:val="clear" w:color="auto" w:fill="FFFFFF"/>
          </w:tcPr>
          <w:p w14:paraId="255225BB" w14:textId="77777777" w:rsidR="00B873AF" w:rsidRDefault="00000000">
            <w:pPr>
              <w:pStyle w:val="TableText0"/>
              <w:rPr>
                <w:rFonts w:hint="eastAsia"/>
                <w:color w:val="000000"/>
              </w:rPr>
            </w:pPr>
            <w:r>
              <w:rPr>
                <w:color w:val="000000"/>
              </w:rPr>
              <w:t>70.5 ± 5.5</w:t>
            </w:r>
          </w:p>
        </w:tc>
        <w:tc>
          <w:tcPr>
            <w:tcW w:w="1965" w:type="dxa"/>
            <w:tcBorders>
              <w:top w:val="nil"/>
              <w:left w:val="nil"/>
              <w:bottom w:val="nil"/>
              <w:right w:val="nil"/>
            </w:tcBorders>
            <w:shd w:val="clear" w:color="auto" w:fill="FFFFFF"/>
          </w:tcPr>
          <w:p w14:paraId="5B7E3280" w14:textId="77777777" w:rsidR="00B873AF" w:rsidRDefault="00B873AF">
            <w:pPr>
              <w:pStyle w:val="TableText0"/>
              <w:rPr>
                <w:rFonts w:hint="eastAsia"/>
                <w:color w:val="000000"/>
              </w:rPr>
            </w:pPr>
          </w:p>
          <w:p w14:paraId="136441DA" w14:textId="77777777" w:rsidR="00B873AF" w:rsidRDefault="00000000">
            <w:pPr>
              <w:pStyle w:val="TableText0"/>
              <w:rPr>
                <w:rFonts w:hint="eastAsia"/>
                <w:color w:val="000000"/>
              </w:rPr>
            </w:pPr>
            <w:r>
              <w:rPr>
                <w:color w:val="000000"/>
              </w:rPr>
              <w:t>77.5 ± 4.0</w:t>
            </w:r>
          </w:p>
        </w:tc>
        <w:tc>
          <w:tcPr>
            <w:tcW w:w="1272" w:type="dxa"/>
            <w:tcBorders>
              <w:top w:val="nil"/>
              <w:left w:val="nil"/>
              <w:bottom w:val="nil"/>
              <w:right w:val="nil"/>
            </w:tcBorders>
            <w:shd w:val="clear" w:color="auto" w:fill="FFFFFF"/>
          </w:tcPr>
          <w:p w14:paraId="083F0A83" w14:textId="77777777" w:rsidR="00B873AF" w:rsidRDefault="00B873AF">
            <w:pPr>
              <w:pStyle w:val="TableText0"/>
              <w:rPr>
                <w:rFonts w:hint="eastAsia"/>
                <w:color w:val="000000"/>
              </w:rPr>
            </w:pPr>
          </w:p>
          <w:p w14:paraId="7582ED8C" w14:textId="77777777" w:rsidR="00B873AF" w:rsidRDefault="00000000">
            <w:pPr>
              <w:pStyle w:val="TableText0"/>
              <w:rPr>
                <w:rFonts w:hint="eastAsia"/>
                <w:color w:val="000000"/>
              </w:rPr>
            </w:pPr>
            <w:r>
              <w:rPr>
                <w:color w:val="000000"/>
              </w:rPr>
              <w:t>+7.0</w:t>
            </w:r>
          </w:p>
        </w:tc>
        <w:tc>
          <w:tcPr>
            <w:tcW w:w="1087" w:type="dxa"/>
            <w:tcBorders>
              <w:top w:val="nil"/>
              <w:left w:val="nil"/>
              <w:bottom w:val="nil"/>
              <w:right w:val="nil"/>
            </w:tcBorders>
            <w:shd w:val="clear" w:color="auto" w:fill="FFFFFF"/>
          </w:tcPr>
          <w:p w14:paraId="3AE00946" w14:textId="77777777" w:rsidR="00B873AF" w:rsidRDefault="00B873AF">
            <w:pPr>
              <w:pStyle w:val="TableText0"/>
              <w:rPr>
                <w:rFonts w:hint="eastAsia"/>
                <w:color w:val="000000"/>
              </w:rPr>
            </w:pPr>
          </w:p>
        </w:tc>
        <w:tc>
          <w:tcPr>
            <w:tcW w:w="1168" w:type="dxa"/>
            <w:tcBorders>
              <w:top w:val="nil"/>
              <w:left w:val="nil"/>
              <w:bottom w:val="nil"/>
              <w:right w:val="nil"/>
            </w:tcBorders>
            <w:shd w:val="clear" w:color="auto" w:fill="FFFFFF"/>
          </w:tcPr>
          <w:p w14:paraId="3FD08E2F" w14:textId="77777777" w:rsidR="00B873AF" w:rsidRDefault="00B873AF">
            <w:pPr>
              <w:pStyle w:val="TableText0"/>
              <w:rPr>
                <w:rFonts w:hint="eastAsia"/>
                <w:color w:val="000000"/>
              </w:rPr>
            </w:pPr>
          </w:p>
        </w:tc>
      </w:tr>
      <w:tr w:rsidR="00B873AF" w14:paraId="66B3D1EF" w14:textId="77777777">
        <w:trPr>
          <w:trHeight w:val="23"/>
        </w:trPr>
        <w:tc>
          <w:tcPr>
            <w:tcW w:w="1345" w:type="dxa"/>
            <w:tcBorders>
              <w:top w:val="nil"/>
              <w:left w:val="nil"/>
              <w:bottom w:val="nil"/>
              <w:right w:val="nil"/>
            </w:tcBorders>
            <w:shd w:val="clear" w:color="auto" w:fill="FFFFFF"/>
          </w:tcPr>
          <w:p w14:paraId="68C36C9A" w14:textId="77777777" w:rsidR="00B873AF" w:rsidRDefault="00B873AF">
            <w:pPr>
              <w:pStyle w:val="TableText0"/>
              <w:rPr>
                <w:rFonts w:hint="eastAsia"/>
                <w:color w:val="000000"/>
              </w:rPr>
            </w:pPr>
          </w:p>
        </w:tc>
        <w:tc>
          <w:tcPr>
            <w:tcW w:w="1333" w:type="dxa"/>
            <w:tcBorders>
              <w:top w:val="nil"/>
              <w:left w:val="nil"/>
              <w:bottom w:val="nil"/>
              <w:right w:val="nil"/>
            </w:tcBorders>
            <w:shd w:val="clear" w:color="auto" w:fill="FFFFFF"/>
          </w:tcPr>
          <w:p w14:paraId="2C2A4AD4" w14:textId="77777777" w:rsidR="00B873AF" w:rsidRDefault="00000000">
            <w:pPr>
              <w:pStyle w:val="TableText0"/>
              <w:rPr>
                <w:rFonts w:hint="eastAsia"/>
                <w:color w:val="000000"/>
              </w:rPr>
            </w:pPr>
            <w:r>
              <w:rPr>
                <w:color w:val="000000"/>
              </w:rPr>
              <w:t>Full-</w:t>
            </w:r>
          </w:p>
          <w:p w14:paraId="6D857CA8" w14:textId="77777777" w:rsidR="00B873AF" w:rsidRDefault="00000000">
            <w:pPr>
              <w:pStyle w:val="TableText0"/>
              <w:rPr>
                <w:rFonts w:hint="eastAsia"/>
                <w:color w:val="000000"/>
              </w:rPr>
            </w:pPr>
            <w:r>
              <w:rPr>
                <w:color w:val="000000"/>
              </w:rPr>
              <w:t>CMATS</w:t>
            </w:r>
          </w:p>
        </w:tc>
        <w:tc>
          <w:tcPr>
            <w:tcW w:w="1460" w:type="dxa"/>
            <w:tcBorders>
              <w:top w:val="nil"/>
              <w:left w:val="nil"/>
              <w:bottom w:val="nil"/>
              <w:right w:val="nil"/>
            </w:tcBorders>
            <w:shd w:val="clear" w:color="auto" w:fill="FFFFFF"/>
          </w:tcPr>
          <w:p w14:paraId="350C2A79" w14:textId="77777777" w:rsidR="00B873AF" w:rsidRDefault="00000000">
            <w:pPr>
              <w:pStyle w:val="TableText0"/>
              <w:rPr>
                <w:rFonts w:hint="eastAsia"/>
                <w:color w:val="000000"/>
              </w:rPr>
            </w:pPr>
            <w:r>
              <w:rPr>
                <w:color w:val="000000"/>
              </w:rPr>
              <w:t>71.0 ± 5.0</w:t>
            </w:r>
          </w:p>
        </w:tc>
        <w:tc>
          <w:tcPr>
            <w:tcW w:w="1965" w:type="dxa"/>
            <w:tcBorders>
              <w:top w:val="nil"/>
              <w:left w:val="nil"/>
              <w:bottom w:val="nil"/>
              <w:right w:val="nil"/>
            </w:tcBorders>
            <w:shd w:val="clear" w:color="auto" w:fill="FFFFFF"/>
          </w:tcPr>
          <w:p w14:paraId="2EC63E19" w14:textId="77777777" w:rsidR="00B873AF" w:rsidRDefault="00B873AF">
            <w:pPr>
              <w:pStyle w:val="TableText0"/>
              <w:rPr>
                <w:rFonts w:hint="eastAsia"/>
                <w:color w:val="000000"/>
              </w:rPr>
            </w:pPr>
          </w:p>
          <w:p w14:paraId="06490C45" w14:textId="77777777" w:rsidR="00B873AF" w:rsidRDefault="00000000">
            <w:pPr>
              <w:pStyle w:val="TableText0"/>
              <w:rPr>
                <w:rFonts w:hint="eastAsia"/>
                <w:color w:val="000000"/>
              </w:rPr>
            </w:pPr>
            <w:r>
              <w:rPr>
                <w:color w:val="000000"/>
              </w:rPr>
              <w:t>85.0 ± 3.5</w:t>
            </w:r>
          </w:p>
        </w:tc>
        <w:tc>
          <w:tcPr>
            <w:tcW w:w="1272" w:type="dxa"/>
            <w:tcBorders>
              <w:top w:val="nil"/>
              <w:left w:val="nil"/>
              <w:bottom w:val="nil"/>
              <w:right w:val="nil"/>
            </w:tcBorders>
            <w:shd w:val="clear" w:color="auto" w:fill="FFFFFF"/>
          </w:tcPr>
          <w:p w14:paraId="3B68559C" w14:textId="77777777" w:rsidR="00B873AF" w:rsidRDefault="00B873AF">
            <w:pPr>
              <w:pStyle w:val="TableText0"/>
              <w:rPr>
                <w:rFonts w:hint="eastAsia"/>
                <w:color w:val="000000"/>
              </w:rPr>
            </w:pPr>
          </w:p>
          <w:p w14:paraId="2CA91166" w14:textId="77777777" w:rsidR="00B873AF" w:rsidRDefault="00000000">
            <w:pPr>
              <w:pStyle w:val="TableText0"/>
              <w:rPr>
                <w:rFonts w:hint="eastAsia"/>
                <w:color w:val="000000"/>
              </w:rPr>
            </w:pPr>
            <w:r>
              <w:rPr>
                <w:color w:val="000000"/>
              </w:rPr>
              <w:t>+14.0</w:t>
            </w:r>
          </w:p>
        </w:tc>
        <w:tc>
          <w:tcPr>
            <w:tcW w:w="1087" w:type="dxa"/>
            <w:tcBorders>
              <w:top w:val="nil"/>
              <w:left w:val="nil"/>
              <w:bottom w:val="nil"/>
              <w:right w:val="nil"/>
            </w:tcBorders>
            <w:shd w:val="clear" w:color="auto" w:fill="FFFFFF"/>
          </w:tcPr>
          <w:p w14:paraId="6D0D33B8" w14:textId="77777777" w:rsidR="00B873AF" w:rsidRDefault="00B873AF">
            <w:pPr>
              <w:pStyle w:val="TableText0"/>
              <w:rPr>
                <w:rFonts w:hint="eastAsia"/>
                <w:color w:val="000000"/>
              </w:rPr>
            </w:pPr>
          </w:p>
        </w:tc>
        <w:tc>
          <w:tcPr>
            <w:tcW w:w="1168" w:type="dxa"/>
            <w:tcBorders>
              <w:top w:val="nil"/>
              <w:left w:val="nil"/>
              <w:bottom w:val="nil"/>
              <w:right w:val="nil"/>
            </w:tcBorders>
            <w:shd w:val="clear" w:color="auto" w:fill="FFFFFF"/>
          </w:tcPr>
          <w:p w14:paraId="2E86067E" w14:textId="77777777" w:rsidR="00B873AF" w:rsidRDefault="00B873AF">
            <w:pPr>
              <w:pStyle w:val="TableText0"/>
              <w:rPr>
                <w:rFonts w:hint="eastAsia"/>
                <w:color w:val="000000"/>
              </w:rPr>
            </w:pPr>
          </w:p>
        </w:tc>
      </w:tr>
      <w:tr w:rsidR="00B873AF" w14:paraId="71AFEB98" w14:textId="77777777">
        <w:trPr>
          <w:trHeight w:val="23"/>
        </w:trPr>
        <w:tc>
          <w:tcPr>
            <w:tcW w:w="1345" w:type="dxa"/>
            <w:tcBorders>
              <w:top w:val="nil"/>
              <w:left w:val="nil"/>
              <w:bottom w:val="nil"/>
              <w:right w:val="nil"/>
            </w:tcBorders>
            <w:shd w:val="clear" w:color="auto" w:fill="FFFFFF"/>
          </w:tcPr>
          <w:p w14:paraId="1B89A694" w14:textId="77777777" w:rsidR="00B873AF" w:rsidRDefault="00000000">
            <w:pPr>
              <w:pStyle w:val="TableText0"/>
              <w:rPr>
                <w:rFonts w:hint="eastAsia"/>
                <w:color w:val="000000"/>
              </w:rPr>
            </w:pPr>
            <w:r>
              <w:rPr>
                <w:color w:val="000000"/>
              </w:rPr>
              <w:t>Total Sleep Time (</w:t>
            </w:r>
            <w:proofErr w:type="gramStart"/>
            <w:r>
              <w:rPr>
                <w:color w:val="000000"/>
              </w:rPr>
              <w:t>TST,  min</w:t>
            </w:r>
            <w:proofErr w:type="gramEnd"/>
            <w:r>
              <w:rPr>
                <w:color w:val="000000"/>
              </w:rPr>
              <w:t>)</w:t>
            </w:r>
          </w:p>
        </w:tc>
        <w:tc>
          <w:tcPr>
            <w:tcW w:w="1333" w:type="dxa"/>
            <w:tcBorders>
              <w:top w:val="nil"/>
              <w:left w:val="nil"/>
              <w:bottom w:val="nil"/>
              <w:right w:val="nil"/>
            </w:tcBorders>
            <w:shd w:val="clear" w:color="auto" w:fill="FFFFFF"/>
          </w:tcPr>
          <w:p w14:paraId="0AC82CB3" w14:textId="77777777" w:rsidR="00B873AF" w:rsidRDefault="00B873AF">
            <w:pPr>
              <w:pStyle w:val="TableText0"/>
              <w:rPr>
                <w:rFonts w:hint="eastAsia"/>
                <w:color w:val="000000"/>
              </w:rPr>
            </w:pPr>
          </w:p>
          <w:p w14:paraId="3C677398" w14:textId="77777777" w:rsidR="00B873AF" w:rsidRDefault="00000000">
            <w:pPr>
              <w:pStyle w:val="TableText0"/>
              <w:rPr>
                <w:rFonts w:hint="eastAsia"/>
                <w:color w:val="000000"/>
              </w:rPr>
            </w:pPr>
            <w:r>
              <w:rPr>
                <w:color w:val="000000"/>
              </w:rPr>
              <w:t>Control</w:t>
            </w:r>
          </w:p>
        </w:tc>
        <w:tc>
          <w:tcPr>
            <w:tcW w:w="1460" w:type="dxa"/>
            <w:tcBorders>
              <w:top w:val="nil"/>
              <w:left w:val="nil"/>
              <w:bottom w:val="nil"/>
              <w:right w:val="nil"/>
            </w:tcBorders>
            <w:shd w:val="clear" w:color="auto" w:fill="FFFFFF"/>
          </w:tcPr>
          <w:p w14:paraId="67CA5A45" w14:textId="77777777" w:rsidR="00B873AF" w:rsidRDefault="00B873AF">
            <w:pPr>
              <w:pStyle w:val="TableText0"/>
              <w:rPr>
                <w:rFonts w:hint="eastAsia"/>
                <w:color w:val="000000"/>
              </w:rPr>
            </w:pPr>
          </w:p>
          <w:p w14:paraId="58F5F0EA" w14:textId="77777777" w:rsidR="00B873AF" w:rsidRDefault="00000000">
            <w:pPr>
              <w:pStyle w:val="TableText0"/>
              <w:rPr>
                <w:rFonts w:hint="eastAsia"/>
                <w:color w:val="000000"/>
              </w:rPr>
            </w:pPr>
            <w:r>
              <w:rPr>
                <w:color w:val="000000"/>
              </w:rPr>
              <w:t>315.8 ± 45.1</w:t>
            </w:r>
          </w:p>
        </w:tc>
        <w:tc>
          <w:tcPr>
            <w:tcW w:w="1965" w:type="dxa"/>
            <w:tcBorders>
              <w:top w:val="nil"/>
              <w:left w:val="nil"/>
              <w:bottom w:val="nil"/>
              <w:right w:val="nil"/>
            </w:tcBorders>
            <w:shd w:val="clear" w:color="auto" w:fill="FFFFFF"/>
          </w:tcPr>
          <w:p w14:paraId="6E2837C4" w14:textId="77777777" w:rsidR="00B873AF" w:rsidRDefault="00B873AF">
            <w:pPr>
              <w:pStyle w:val="TableText0"/>
              <w:rPr>
                <w:rFonts w:hint="eastAsia"/>
                <w:color w:val="000000"/>
              </w:rPr>
            </w:pPr>
          </w:p>
          <w:p w14:paraId="17F05696" w14:textId="77777777" w:rsidR="00B873AF" w:rsidRDefault="00000000">
            <w:pPr>
              <w:pStyle w:val="TableText0"/>
              <w:rPr>
                <w:rFonts w:hint="eastAsia"/>
                <w:color w:val="000000"/>
              </w:rPr>
            </w:pPr>
            <w:r>
              <w:rPr>
                <w:color w:val="000000"/>
              </w:rPr>
              <w:t>355.2 ± 38.9</w:t>
            </w:r>
          </w:p>
        </w:tc>
        <w:tc>
          <w:tcPr>
            <w:tcW w:w="1272" w:type="dxa"/>
            <w:tcBorders>
              <w:top w:val="nil"/>
              <w:left w:val="nil"/>
              <w:bottom w:val="nil"/>
              <w:right w:val="nil"/>
            </w:tcBorders>
            <w:shd w:val="clear" w:color="auto" w:fill="FFFFFF"/>
          </w:tcPr>
          <w:p w14:paraId="7A36800C" w14:textId="77777777" w:rsidR="00B873AF" w:rsidRDefault="00B873AF">
            <w:pPr>
              <w:pStyle w:val="TableText0"/>
              <w:rPr>
                <w:rFonts w:hint="eastAsia"/>
                <w:color w:val="000000"/>
              </w:rPr>
            </w:pPr>
          </w:p>
          <w:p w14:paraId="17DB381C" w14:textId="77777777" w:rsidR="00B873AF" w:rsidRDefault="00000000">
            <w:pPr>
              <w:pStyle w:val="TableText0"/>
              <w:rPr>
                <w:rFonts w:hint="eastAsia"/>
                <w:color w:val="000000"/>
              </w:rPr>
            </w:pPr>
            <w:r>
              <w:rPr>
                <w:color w:val="000000"/>
              </w:rPr>
              <w:t>+39.4</w:t>
            </w:r>
          </w:p>
        </w:tc>
        <w:tc>
          <w:tcPr>
            <w:tcW w:w="1087" w:type="dxa"/>
            <w:tcBorders>
              <w:top w:val="nil"/>
              <w:left w:val="nil"/>
              <w:bottom w:val="nil"/>
              <w:right w:val="nil"/>
            </w:tcBorders>
            <w:shd w:val="clear" w:color="auto" w:fill="FFFFFF"/>
          </w:tcPr>
          <w:p w14:paraId="50044571" w14:textId="77777777" w:rsidR="00B873AF" w:rsidRDefault="00B873AF">
            <w:pPr>
              <w:pStyle w:val="TableText0"/>
              <w:rPr>
                <w:rFonts w:hint="eastAsia"/>
                <w:color w:val="000000"/>
              </w:rPr>
            </w:pPr>
          </w:p>
          <w:p w14:paraId="4EE8CD87" w14:textId="77777777" w:rsidR="00B873AF" w:rsidRDefault="00000000">
            <w:pPr>
              <w:pStyle w:val="TableText0"/>
              <w:rPr>
                <w:rFonts w:hint="eastAsia"/>
                <w:color w:val="000000"/>
              </w:rPr>
            </w:pPr>
            <w:r>
              <w:rPr>
                <w:color w:val="000000"/>
              </w:rPr>
              <w:t>2.55</w:t>
            </w:r>
          </w:p>
        </w:tc>
        <w:tc>
          <w:tcPr>
            <w:tcW w:w="1168" w:type="dxa"/>
            <w:tcBorders>
              <w:top w:val="nil"/>
              <w:left w:val="nil"/>
              <w:bottom w:val="nil"/>
              <w:right w:val="nil"/>
            </w:tcBorders>
            <w:shd w:val="clear" w:color="auto" w:fill="FFFFFF"/>
          </w:tcPr>
          <w:p w14:paraId="542186D6" w14:textId="77777777" w:rsidR="00B873AF" w:rsidRDefault="00B873AF">
            <w:pPr>
              <w:pStyle w:val="TableText0"/>
              <w:rPr>
                <w:rFonts w:hint="eastAsia"/>
                <w:color w:val="000000"/>
              </w:rPr>
            </w:pPr>
          </w:p>
          <w:p w14:paraId="253EB4EF" w14:textId="77777777" w:rsidR="00B873AF" w:rsidRDefault="00000000">
            <w:pPr>
              <w:pStyle w:val="TableText0"/>
              <w:rPr>
                <w:rFonts w:hint="eastAsia"/>
                <w:color w:val="000000"/>
              </w:rPr>
            </w:pPr>
            <w:r>
              <w:rPr>
                <w:color w:val="000000"/>
              </w:rPr>
              <w:t>0.014∗</w:t>
            </w:r>
          </w:p>
        </w:tc>
      </w:tr>
      <w:tr w:rsidR="00B873AF" w14:paraId="1D4CE0DD" w14:textId="77777777">
        <w:trPr>
          <w:trHeight w:val="23"/>
        </w:trPr>
        <w:tc>
          <w:tcPr>
            <w:tcW w:w="1345" w:type="dxa"/>
            <w:tcBorders>
              <w:top w:val="nil"/>
              <w:left w:val="nil"/>
              <w:bottom w:val="nil"/>
              <w:right w:val="nil"/>
            </w:tcBorders>
            <w:shd w:val="clear" w:color="auto" w:fill="FFFFFF"/>
          </w:tcPr>
          <w:p w14:paraId="04EE1DF5" w14:textId="77777777" w:rsidR="00B873AF" w:rsidRDefault="00B873AF">
            <w:pPr>
              <w:pStyle w:val="TableText0"/>
              <w:rPr>
                <w:rFonts w:hint="eastAsia"/>
                <w:color w:val="000000"/>
              </w:rPr>
            </w:pPr>
          </w:p>
        </w:tc>
        <w:tc>
          <w:tcPr>
            <w:tcW w:w="1333" w:type="dxa"/>
            <w:tcBorders>
              <w:top w:val="nil"/>
              <w:left w:val="nil"/>
              <w:bottom w:val="nil"/>
              <w:right w:val="nil"/>
            </w:tcBorders>
            <w:shd w:val="clear" w:color="auto" w:fill="FFFFFF"/>
          </w:tcPr>
          <w:p w14:paraId="3DFFFDAC" w14:textId="77777777" w:rsidR="00B873AF" w:rsidRDefault="00B873AF">
            <w:pPr>
              <w:pStyle w:val="TableText0"/>
              <w:rPr>
                <w:rFonts w:hint="eastAsia"/>
                <w:color w:val="000000"/>
              </w:rPr>
            </w:pPr>
          </w:p>
          <w:p w14:paraId="20B375C5" w14:textId="77777777" w:rsidR="00B873AF" w:rsidRDefault="00000000">
            <w:pPr>
              <w:pStyle w:val="TableText0"/>
              <w:rPr>
                <w:rFonts w:hint="eastAsia"/>
                <w:color w:val="000000"/>
              </w:rPr>
            </w:pPr>
            <w:r>
              <w:rPr>
                <w:color w:val="000000"/>
              </w:rPr>
              <w:t>Treatment</w:t>
            </w:r>
          </w:p>
        </w:tc>
        <w:tc>
          <w:tcPr>
            <w:tcW w:w="1460" w:type="dxa"/>
            <w:tcBorders>
              <w:top w:val="nil"/>
              <w:left w:val="nil"/>
              <w:bottom w:val="nil"/>
              <w:right w:val="nil"/>
            </w:tcBorders>
            <w:shd w:val="clear" w:color="auto" w:fill="FFFFFF"/>
          </w:tcPr>
          <w:p w14:paraId="1FB9C895" w14:textId="77777777" w:rsidR="00B873AF" w:rsidRDefault="00000000">
            <w:pPr>
              <w:pStyle w:val="TableText0"/>
              <w:rPr>
                <w:rFonts w:hint="eastAsia"/>
                <w:color w:val="000000"/>
              </w:rPr>
            </w:pPr>
            <w:r>
              <w:rPr>
                <w:color w:val="000000"/>
              </w:rPr>
              <w:t>312.5 ± 48.7</w:t>
            </w:r>
          </w:p>
        </w:tc>
        <w:tc>
          <w:tcPr>
            <w:tcW w:w="1965" w:type="dxa"/>
            <w:tcBorders>
              <w:top w:val="nil"/>
              <w:left w:val="nil"/>
              <w:bottom w:val="nil"/>
              <w:right w:val="nil"/>
            </w:tcBorders>
            <w:shd w:val="clear" w:color="auto" w:fill="FFFFFF"/>
          </w:tcPr>
          <w:p w14:paraId="3550B094" w14:textId="77777777" w:rsidR="00B873AF" w:rsidRDefault="00B873AF">
            <w:pPr>
              <w:pStyle w:val="TableText0"/>
              <w:rPr>
                <w:rFonts w:hint="eastAsia"/>
                <w:color w:val="000000"/>
              </w:rPr>
            </w:pPr>
          </w:p>
          <w:p w14:paraId="7392FD4C" w14:textId="77777777" w:rsidR="00B873AF" w:rsidRDefault="00000000">
            <w:pPr>
              <w:pStyle w:val="TableText0"/>
              <w:rPr>
                <w:rFonts w:hint="eastAsia"/>
                <w:color w:val="000000"/>
              </w:rPr>
            </w:pPr>
            <w:r>
              <w:rPr>
                <w:color w:val="000000"/>
              </w:rPr>
              <w:t>371.4 ± 35.5</w:t>
            </w:r>
          </w:p>
        </w:tc>
        <w:tc>
          <w:tcPr>
            <w:tcW w:w="1272" w:type="dxa"/>
            <w:tcBorders>
              <w:top w:val="nil"/>
              <w:left w:val="nil"/>
              <w:bottom w:val="nil"/>
              <w:right w:val="nil"/>
            </w:tcBorders>
            <w:shd w:val="clear" w:color="auto" w:fill="FFFFFF"/>
          </w:tcPr>
          <w:p w14:paraId="690C3D26" w14:textId="77777777" w:rsidR="00B873AF" w:rsidRDefault="00000000">
            <w:pPr>
              <w:pStyle w:val="TableText0"/>
              <w:rPr>
                <w:rFonts w:hint="eastAsia"/>
                <w:color w:val="000000"/>
              </w:rPr>
            </w:pPr>
            <w:r>
              <w:rPr>
                <w:color w:val="000000"/>
              </w:rPr>
              <w:t>+58.9</w:t>
            </w:r>
          </w:p>
        </w:tc>
        <w:tc>
          <w:tcPr>
            <w:tcW w:w="1087" w:type="dxa"/>
            <w:tcBorders>
              <w:top w:val="nil"/>
              <w:left w:val="nil"/>
              <w:bottom w:val="nil"/>
              <w:right w:val="nil"/>
            </w:tcBorders>
            <w:shd w:val="clear" w:color="auto" w:fill="FFFFFF"/>
          </w:tcPr>
          <w:p w14:paraId="1592D46B" w14:textId="77777777" w:rsidR="00B873AF" w:rsidRDefault="00B873AF">
            <w:pPr>
              <w:pStyle w:val="TableText0"/>
              <w:rPr>
                <w:rFonts w:hint="eastAsia"/>
                <w:color w:val="000000"/>
              </w:rPr>
            </w:pPr>
          </w:p>
          <w:p w14:paraId="3CEBB8C8" w14:textId="77777777" w:rsidR="00B873AF" w:rsidRDefault="00000000">
            <w:pPr>
              <w:pStyle w:val="TableText0"/>
              <w:rPr>
                <w:rFonts w:hint="eastAsia"/>
                <w:color w:val="000000"/>
              </w:rPr>
            </w:pPr>
            <w:r>
              <w:rPr>
                <w:color w:val="000000"/>
              </w:rPr>
              <w:t>4.11</w:t>
            </w:r>
          </w:p>
        </w:tc>
        <w:tc>
          <w:tcPr>
            <w:tcW w:w="1168" w:type="dxa"/>
            <w:tcBorders>
              <w:top w:val="nil"/>
              <w:left w:val="nil"/>
              <w:bottom w:val="nil"/>
              <w:right w:val="nil"/>
            </w:tcBorders>
            <w:shd w:val="clear" w:color="auto" w:fill="FFFFFF"/>
          </w:tcPr>
          <w:p w14:paraId="3A1C9511" w14:textId="77777777" w:rsidR="00B873AF" w:rsidRDefault="00000000">
            <w:pPr>
              <w:pStyle w:val="TableText0"/>
              <w:rPr>
                <w:rFonts w:hint="eastAsia"/>
                <w:color w:val="000000"/>
              </w:rPr>
            </w:pPr>
            <w:r>
              <w:rPr>
                <w:color w:val="000000"/>
              </w:rPr>
              <w:t>&lt;</w:t>
            </w:r>
          </w:p>
          <w:p w14:paraId="758F80CB" w14:textId="77777777" w:rsidR="00B873AF" w:rsidRDefault="00000000">
            <w:pPr>
              <w:pStyle w:val="TableText0"/>
              <w:rPr>
                <w:rFonts w:hint="eastAsia"/>
                <w:color w:val="000000"/>
              </w:rPr>
            </w:pPr>
            <w:r>
              <w:rPr>
                <w:color w:val="000000"/>
              </w:rPr>
              <w:t>0.001∗∗∗</w:t>
            </w:r>
          </w:p>
        </w:tc>
      </w:tr>
      <w:tr w:rsidR="00B873AF" w14:paraId="75F1A6D2" w14:textId="77777777">
        <w:trPr>
          <w:trHeight w:val="23"/>
        </w:trPr>
        <w:tc>
          <w:tcPr>
            <w:tcW w:w="1345" w:type="dxa"/>
            <w:tcBorders>
              <w:top w:val="nil"/>
              <w:left w:val="nil"/>
              <w:bottom w:val="nil"/>
              <w:right w:val="nil"/>
            </w:tcBorders>
            <w:shd w:val="clear" w:color="auto" w:fill="FFFFFF"/>
          </w:tcPr>
          <w:p w14:paraId="295B2E2B" w14:textId="77777777" w:rsidR="00B873AF" w:rsidRDefault="00000000">
            <w:pPr>
              <w:pStyle w:val="TableText0"/>
              <w:rPr>
                <w:rFonts w:hint="eastAsia"/>
                <w:color w:val="000000"/>
              </w:rPr>
            </w:pPr>
            <w:r>
              <w:rPr>
                <w:color w:val="000000"/>
              </w:rPr>
              <w:t>Sleep</w:t>
            </w:r>
          </w:p>
          <w:p w14:paraId="2A06DDB9" w14:textId="77777777" w:rsidR="00B873AF" w:rsidRDefault="00000000">
            <w:pPr>
              <w:pStyle w:val="TableText0"/>
              <w:rPr>
                <w:rFonts w:hint="eastAsia"/>
                <w:color w:val="000000"/>
              </w:rPr>
            </w:pPr>
            <w:r>
              <w:rPr>
                <w:color w:val="000000"/>
              </w:rPr>
              <w:t>Efficiency (SE, %)</w:t>
            </w:r>
          </w:p>
        </w:tc>
        <w:tc>
          <w:tcPr>
            <w:tcW w:w="1333" w:type="dxa"/>
            <w:tcBorders>
              <w:top w:val="nil"/>
              <w:left w:val="nil"/>
              <w:bottom w:val="nil"/>
              <w:right w:val="nil"/>
            </w:tcBorders>
            <w:shd w:val="clear" w:color="auto" w:fill="FFFFFF"/>
          </w:tcPr>
          <w:p w14:paraId="6474BB3A" w14:textId="77777777" w:rsidR="00B873AF" w:rsidRDefault="00B873AF">
            <w:pPr>
              <w:pStyle w:val="TableText0"/>
              <w:rPr>
                <w:rFonts w:hint="eastAsia"/>
                <w:color w:val="000000"/>
              </w:rPr>
            </w:pPr>
          </w:p>
          <w:p w14:paraId="6D3F82AC" w14:textId="77777777" w:rsidR="00B873AF" w:rsidRDefault="00000000">
            <w:pPr>
              <w:pStyle w:val="TableText0"/>
              <w:rPr>
                <w:rFonts w:hint="eastAsia"/>
                <w:color w:val="000000"/>
              </w:rPr>
            </w:pPr>
            <w:r>
              <w:rPr>
                <w:color w:val="000000"/>
              </w:rPr>
              <w:t>Control</w:t>
            </w:r>
          </w:p>
        </w:tc>
        <w:tc>
          <w:tcPr>
            <w:tcW w:w="1460" w:type="dxa"/>
            <w:tcBorders>
              <w:top w:val="nil"/>
              <w:left w:val="nil"/>
              <w:bottom w:val="nil"/>
              <w:right w:val="nil"/>
            </w:tcBorders>
            <w:shd w:val="clear" w:color="auto" w:fill="FFFFFF"/>
          </w:tcPr>
          <w:p w14:paraId="38850230" w14:textId="77777777" w:rsidR="00B873AF" w:rsidRDefault="00B873AF">
            <w:pPr>
              <w:pStyle w:val="TableText0"/>
              <w:rPr>
                <w:rFonts w:hint="eastAsia"/>
                <w:color w:val="000000"/>
              </w:rPr>
            </w:pPr>
          </w:p>
          <w:p w14:paraId="61B1AF19" w14:textId="77777777" w:rsidR="00B873AF" w:rsidRDefault="00000000">
            <w:pPr>
              <w:pStyle w:val="TableText0"/>
              <w:rPr>
                <w:rFonts w:hint="eastAsia"/>
                <w:color w:val="000000"/>
              </w:rPr>
            </w:pPr>
            <w:r>
              <w:rPr>
                <w:color w:val="000000"/>
              </w:rPr>
              <w:t>69.2 ± 5.5</w:t>
            </w:r>
          </w:p>
        </w:tc>
        <w:tc>
          <w:tcPr>
            <w:tcW w:w="1965" w:type="dxa"/>
            <w:tcBorders>
              <w:top w:val="nil"/>
              <w:left w:val="nil"/>
              <w:bottom w:val="nil"/>
              <w:right w:val="nil"/>
            </w:tcBorders>
            <w:shd w:val="clear" w:color="auto" w:fill="FFFFFF"/>
          </w:tcPr>
          <w:p w14:paraId="78972CBE" w14:textId="77777777" w:rsidR="00B873AF" w:rsidRDefault="00B873AF">
            <w:pPr>
              <w:pStyle w:val="TableText0"/>
              <w:rPr>
                <w:rFonts w:hint="eastAsia"/>
                <w:color w:val="000000"/>
              </w:rPr>
            </w:pPr>
          </w:p>
          <w:p w14:paraId="5A9C6CFB" w14:textId="77777777" w:rsidR="00B873AF" w:rsidRDefault="00000000">
            <w:pPr>
              <w:pStyle w:val="TableText0"/>
              <w:rPr>
                <w:rFonts w:hint="eastAsia"/>
                <w:color w:val="000000"/>
              </w:rPr>
            </w:pPr>
            <w:r>
              <w:rPr>
                <w:color w:val="000000"/>
              </w:rPr>
              <w:t>77.5 ± 4.1</w:t>
            </w:r>
          </w:p>
        </w:tc>
        <w:tc>
          <w:tcPr>
            <w:tcW w:w="1272" w:type="dxa"/>
            <w:tcBorders>
              <w:top w:val="nil"/>
              <w:left w:val="nil"/>
              <w:bottom w:val="nil"/>
              <w:right w:val="nil"/>
            </w:tcBorders>
            <w:shd w:val="clear" w:color="auto" w:fill="FFFFFF"/>
          </w:tcPr>
          <w:p w14:paraId="3E0DD20B" w14:textId="77777777" w:rsidR="00B873AF" w:rsidRDefault="00B873AF">
            <w:pPr>
              <w:pStyle w:val="TableText0"/>
              <w:rPr>
                <w:rFonts w:hint="eastAsia"/>
                <w:color w:val="000000"/>
              </w:rPr>
            </w:pPr>
          </w:p>
          <w:p w14:paraId="333FC950" w14:textId="77777777" w:rsidR="00B873AF" w:rsidRDefault="00000000">
            <w:pPr>
              <w:pStyle w:val="TableText0"/>
              <w:rPr>
                <w:rFonts w:hint="eastAsia"/>
                <w:color w:val="000000"/>
              </w:rPr>
            </w:pPr>
            <w:r>
              <w:rPr>
                <w:color w:val="000000"/>
              </w:rPr>
              <w:t>+8.3</w:t>
            </w:r>
          </w:p>
        </w:tc>
        <w:tc>
          <w:tcPr>
            <w:tcW w:w="1087" w:type="dxa"/>
            <w:tcBorders>
              <w:top w:val="nil"/>
              <w:left w:val="nil"/>
              <w:bottom w:val="nil"/>
              <w:right w:val="nil"/>
            </w:tcBorders>
            <w:shd w:val="clear" w:color="auto" w:fill="FFFFFF"/>
          </w:tcPr>
          <w:p w14:paraId="311AC952" w14:textId="77777777" w:rsidR="00B873AF" w:rsidRDefault="00B873AF">
            <w:pPr>
              <w:pStyle w:val="TableText0"/>
              <w:rPr>
                <w:rFonts w:hint="eastAsia"/>
                <w:color w:val="000000"/>
              </w:rPr>
            </w:pPr>
          </w:p>
          <w:p w14:paraId="6BAA1EA9" w14:textId="77777777" w:rsidR="00B873AF" w:rsidRDefault="00000000">
            <w:pPr>
              <w:pStyle w:val="TableText0"/>
              <w:rPr>
                <w:rFonts w:hint="eastAsia"/>
                <w:color w:val="000000"/>
              </w:rPr>
            </w:pPr>
            <w:r>
              <w:rPr>
                <w:color w:val="000000"/>
              </w:rPr>
              <w:t>3.88</w:t>
            </w:r>
          </w:p>
        </w:tc>
        <w:tc>
          <w:tcPr>
            <w:tcW w:w="1168" w:type="dxa"/>
            <w:tcBorders>
              <w:top w:val="nil"/>
              <w:left w:val="nil"/>
              <w:bottom w:val="nil"/>
              <w:right w:val="nil"/>
            </w:tcBorders>
            <w:shd w:val="clear" w:color="auto" w:fill="FFFFFF"/>
          </w:tcPr>
          <w:p w14:paraId="78672B5B" w14:textId="77777777" w:rsidR="00B873AF" w:rsidRDefault="00B873AF">
            <w:pPr>
              <w:pStyle w:val="TableText0"/>
              <w:rPr>
                <w:rFonts w:hint="eastAsia"/>
                <w:color w:val="000000"/>
              </w:rPr>
            </w:pPr>
          </w:p>
          <w:p w14:paraId="28F74CE7" w14:textId="77777777" w:rsidR="00B873AF" w:rsidRDefault="00000000">
            <w:pPr>
              <w:pStyle w:val="TableText0"/>
              <w:rPr>
                <w:rFonts w:hint="eastAsia"/>
                <w:color w:val="000000"/>
              </w:rPr>
            </w:pPr>
            <w:r>
              <w:rPr>
                <w:color w:val="000000"/>
              </w:rPr>
              <w:t>&lt;</w:t>
            </w:r>
          </w:p>
          <w:p w14:paraId="324E03B9" w14:textId="77777777" w:rsidR="00B873AF" w:rsidRDefault="00000000">
            <w:pPr>
              <w:pStyle w:val="TableText0"/>
              <w:rPr>
                <w:rFonts w:hint="eastAsia"/>
                <w:color w:val="000000"/>
              </w:rPr>
            </w:pPr>
            <w:r>
              <w:rPr>
                <w:color w:val="000000"/>
              </w:rPr>
              <w:t>0.001∗∗∗</w:t>
            </w:r>
          </w:p>
        </w:tc>
      </w:tr>
      <w:tr w:rsidR="00B873AF" w14:paraId="62BBD7E9" w14:textId="77777777">
        <w:trPr>
          <w:trHeight w:val="23"/>
        </w:trPr>
        <w:tc>
          <w:tcPr>
            <w:tcW w:w="1345" w:type="dxa"/>
            <w:tcBorders>
              <w:top w:val="nil"/>
              <w:left w:val="nil"/>
              <w:bottom w:val="single" w:sz="12" w:space="0" w:color="000000"/>
              <w:right w:val="nil"/>
            </w:tcBorders>
            <w:shd w:val="clear" w:color="auto" w:fill="FFFFFF"/>
          </w:tcPr>
          <w:p w14:paraId="5299C597" w14:textId="77777777" w:rsidR="00B873AF" w:rsidRDefault="00B873AF">
            <w:pPr>
              <w:pStyle w:val="TableText0"/>
              <w:rPr>
                <w:rFonts w:hint="eastAsia"/>
                <w:color w:val="000000"/>
              </w:rPr>
            </w:pPr>
          </w:p>
        </w:tc>
        <w:tc>
          <w:tcPr>
            <w:tcW w:w="1333" w:type="dxa"/>
            <w:tcBorders>
              <w:top w:val="nil"/>
              <w:left w:val="nil"/>
              <w:bottom w:val="single" w:sz="12" w:space="0" w:color="000000"/>
              <w:right w:val="nil"/>
            </w:tcBorders>
            <w:shd w:val="clear" w:color="auto" w:fill="FFFFFF"/>
          </w:tcPr>
          <w:p w14:paraId="703E2312" w14:textId="77777777" w:rsidR="00B873AF" w:rsidRDefault="00B873AF">
            <w:pPr>
              <w:pStyle w:val="TableText0"/>
              <w:rPr>
                <w:rFonts w:hint="eastAsia"/>
                <w:color w:val="000000"/>
              </w:rPr>
            </w:pPr>
          </w:p>
          <w:p w14:paraId="1AD454FD" w14:textId="77777777" w:rsidR="00B873AF" w:rsidRDefault="00000000">
            <w:pPr>
              <w:pStyle w:val="TableText0"/>
              <w:rPr>
                <w:rFonts w:hint="eastAsia"/>
                <w:color w:val="000000"/>
              </w:rPr>
            </w:pPr>
            <w:r>
              <w:rPr>
                <w:color w:val="000000"/>
              </w:rPr>
              <w:t>Treatment</w:t>
            </w:r>
          </w:p>
        </w:tc>
        <w:tc>
          <w:tcPr>
            <w:tcW w:w="1460" w:type="dxa"/>
            <w:tcBorders>
              <w:top w:val="nil"/>
              <w:left w:val="nil"/>
              <w:bottom w:val="single" w:sz="12" w:space="0" w:color="000000"/>
              <w:right w:val="nil"/>
            </w:tcBorders>
            <w:shd w:val="clear" w:color="auto" w:fill="FFFFFF"/>
          </w:tcPr>
          <w:p w14:paraId="5ECD33AB" w14:textId="77777777" w:rsidR="00B873AF" w:rsidRDefault="00000000">
            <w:pPr>
              <w:pStyle w:val="TableText0"/>
              <w:rPr>
                <w:rFonts w:hint="eastAsia"/>
                <w:color w:val="000000"/>
              </w:rPr>
            </w:pPr>
            <w:r>
              <w:rPr>
                <w:color w:val="000000"/>
              </w:rPr>
              <w:t>68.9 ± 6.1</w:t>
            </w:r>
          </w:p>
        </w:tc>
        <w:tc>
          <w:tcPr>
            <w:tcW w:w="1965" w:type="dxa"/>
            <w:tcBorders>
              <w:top w:val="nil"/>
              <w:left w:val="nil"/>
              <w:bottom w:val="single" w:sz="12" w:space="0" w:color="000000"/>
              <w:right w:val="nil"/>
            </w:tcBorders>
            <w:shd w:val="clear" w:color="auto" w:fill="FFFFFF"/>
          </w:tcPr>
          <w:p w14:paraId="01440516" w14:textId="77777777" w:rsidR="00B873AF" w:rsidRDefault="00B873AF">
            <w:pPr>
              <w:pStyle w:val="TableText0"/>
              <w:rPr>
                <w:rFonts w:hint="eastAsia"/>
                <w:color w:val="000000"/>
              </w:rPr>
            </w:pPr>
          </w:p>
          <w:p w14:paraId="2983C7EE" w14:textId="77777777" w:rsidR="00B873AF" w:rsidRDefault="00000000">
            <w:pPr>
              <w:pStyle w:val="TableText0"/>
              <w:rPr>
                <w:rFonts w:hint="eastAsia"/>
                <w:color w:val="000000"/>
              </w:rPr>
            </w:pPr>
            <w:r>
              <w:rPr>
                <w:color w:val="000000"/>
              </w:rPr>
              <w:t>83.5 ± 3.5</w:t>
            </w:r>
          </w:p>
        </w:tc>
        <w:tc>
          <w:tcPr>
            <w:tcW w:w="1272" w:type="dxa"/>
            <w:tcBorders>
              <w:top w:val="nil"/>
              <w:left w:val="nil"/>
              <w:bottom w:val="single" w:sz="12" w:space="0" w:color="000000"/>
              <w:right w:val="nil"/>
            </w:tcBorders>
            <w:shd w:val="clear" w:color="auto" w:fill="FFFFFF"/>
          </w:tcPr>
          <w:p w14:paraId="3F99AC03" w14:textId="77777777" w:rsidR="00B873AF" w:rsidRDefault="00B873AF">
            <w:pPr>
              <w:pStyle w:val="TableText0"/>
              <w:rPr>
                <w:rFonts w:hint="eastAsia"/>
                <w:color w:val="000000"/>
              </w:rPr>
            </w:pPr>
          </w:p>
          <w:p w14:paraId="0568B710" w14:textId="77777777" w:rsidR="00B873AF" w:rsidRDefault="00000000">
            <w:pPr>
              <w:pStyle w:val="TableText0"/>
              <w:rPr>
                <w:rFonts w:hint="eastAsia"/>
                <w:color w:val="000000"/>
              </w:rPr>
            </w:pPr>
            <w:r>
              <w:rPr>
                <w:color w:val="000000"/>
              </w:rPr>
              <w:t>+14.6</w:t>
            </w:r>
          </w:p>
        </w:tc>
        <w:tc>
          <w:tcPr>
            <w:tcW w:w="1087" w:type="dxa"/>
            <w:tcBorders>
              <w:top w:val="nil"/>
              <w:left w:val="nil"/>
              <w:bottom w:val="single" w:sz="12" w:space="0" w:color="000000"/>
              <w:right w:val="nil"/>
            </w:tcBorders>
            <w:shd w:val="clear" w:color="auto" w:fill="FFFFFF"/>
          </w:tcPr>
          <w:p w14:paraId="1D439304" w14:textId="77777777" w:rsidR="00B873AF" w:rsidRDefault="00B873AF">
            <w:pPr>
              <w:pStyle w:val="TableText0"/>
              <w:rPr>
                <w:rFonts w:hint="eastAsia"/>
                <w:color w:val="000000"/>
              </w:rPr>
            </w:pPr>
          </w:p>
          <w:p w14:paraId="446BCEC1" w14:textId="77777777" w:rsidR="00B873AF" w:rsidRDefault="00000000">
            <w:pPr>
              <w:pStyle w:val="TableText0"/>
              <w:rPr>
                <w:rFonts w:hint="eastAsia"/>
                <w:color w:val="000000"/>
              </w:rPr>
            </w:pPr>
            <w:r>
              <w:rPr>
                <w:color w:val="000000"/>
              </w:rPr>
              <w:t>7.52</w:t>
            </w:r>
          </w:p>
        </w:tc>
        <w:tc>
          <w:tcPr>
            <w:tcW w:w="1168" w:type="dxa"/>
            <w:tcBorders>
              <w:top w:val="nil"/>
              <w:left w:val="nil"/>
              <w:bottom w:val="single" w:sz="12" w:space="0" w:color="000000"/>
              <w:right w:val="nil"/>
            </w:tcBorders>
            <w:shd w:val="clear" w:color="auto" w:fill="FFFFFF"/>
          </w:tcPr>
          <w:p w14:paraId="76E794D5" w14:textId="77777777" w:rsidR="00B873AF" w:rsidRDefault="00000000">
            <w:pPr>
              <w:pStyle w:val="TableText0"/>
              <w:rPr>
                <w:rFonts w:hint="eastAsia"/>
                <w:color w:val="000000"/>
              </w:rPr>
            </w:pPr>
            <w:r>
              <w:rPr>
                <w:color w:val="000000"/>
              </w:rPr>
              <w:t>&lt;</w:t>
            </w:r>
          </w:p>
          <w:p w14:paraId="2D459D9A" w14:textId="77777777" w:rsidR="00B873AF" w:rsidRDefault="00000000">
            <w:pPr>
              <w:pStyle w:val="TableText0"/>
              <w:rPr>
                <w:rFonts w:hint="eastAsia"/>
                <w:color w:val="000000"/>
              </w:rPr>
            </w:pPr>
            <w:r>
              <w:rPr>
                <w:color w:val="000000"/>
              </w:rPr>
              <w:t>0.001∗∗∗</w:t>
            </w:r>
          </w:p>
        </w:tc>
      </w:tr>
    </w:tbl>
    <w:p w14:paraId="5B5703F9" w14:textId="056EEF9C" w:rsidR="00B873AF" w:rsidRDefault="00000000">
      <w:pPr>
        <w:pStyle w:val="Footnotetext"/>
      </w:pPr>
      <w:r>
        <w:t>Note:</w:t>
      </w:r>
      <w:r>
        <w:rPr>
          <w:lang w:val="en-US"/>
        </w:rPr>
        <w:t xml:space="preserve"> </w:t>
      </w:r>
      <w:r>
        <w:t>p &lt; 0.05,</w:t>
      </w:r>
      <w:r>
        <w:rPr>
          <w:lang w:val="en-US"/>
        </w:rPr>
        <w:t xml:space="preserve"> </w:t>
      </w:r>
      <w:r>
        <w:t>p &lt; 0.01,</w:t>
      </w:r>
      <w:r>
        <w:rPr>
          <w:lang w:val="en-US"/>
        </w:rPr>
        <w:t xml:space="preserve"> </w:t>
      </w:r>
      <w:r>
        <w:t>p &lt; 0.001.</w:t>
      </w:r>
      <w:r>
        <w:rPr>
          <w:lang w:val="en-US"/>
        </w:rPr>
        <w:t xml:space="preserve"> </w:t>
      </w:r>
      <w:r>
        <w:rPr>
          <w:rFonts w:hint="eastAsia"/>
        </w:rPr>
        <w:t>δ</w:t>
      </w:r>
      <w:r>
        <w:t xml:space="preserve"> Change is Post-Intervention minus Baseline.</w:t>
      </w:r>
    </w:p>
    <w:p w14:paraId="34404ABD" w14:textId="77777777" w:rsidR="00B873AF" w:rsidRDefault="00B873AF">
      <w:pPr>
        <w:pStyle w:val="Bodytextwithindent"/>
        <w:ind w:firstLine="0"/>
      </w:pPr>
    </w:p>
    <w:p w14:paraId="218001FD" w14:textId="77777777" w:rsidR="00B873AF" w:rsidRDefault="00B873AF">
      <w:pPr>
        <w:pStyle w:val="Bodytextwithindent"/>
      </w:pPr>
    </w:p>
    <w:p w14:paraId="46D90BC5" w14:textId="77777777" w:rsidR="00B873AF" w:rsidRDefault="00B873AF">
      <w:pPr>
        <w:pStyle w:val="31"/>
        <w:sectPr w:rsidR="00B873AF">
          <w:type w:val="continuous"/>
          <w:pgSz w:w="11906" w:h="16838"/>
          <w:pgMar w:top="1644" w:right="907" w:bottom="1531" w:left="907" w:header="680" w:footer="680" w:gutter="0"/>
          <w:cols w:space="425"/>
          <w:titlePg/>
        </w:sectPr>
      </w:pPr>
    </w:p>
    <w:p w14:paraId="0FA55BA3" w14:textId="77777777" w:rsidR="00B873AF" w:rsidRDefault="00000000">
      <w:pPr>
        <w:pStyle w:val="31"/>
      </w:pPr>
      <w:r>
        <w:rPr>
          <w:rFonts w:hint="eastAsia"/>
        </w:rPr>
        <w:t>4.2.2 Subjective Sleep Quality (PSQI)</w:t>
      </w:r>
    </w:p>
    <w:p w14:paraId="55B9323D" w14:textId="77777777" w:rsidR="00B873AF" w:rsidRDefault="00000000">
      <w:pPr>
        <w:pStyle w:val="Bodytextwithindent"/>
        <w:ind w:firstLine="0"/>
      </w:pPr>
      <w:r>
        <w:rPr>
          <w:rFonts w:hint="eastAsia"/>
        </w:rPr>
        <w:t xml:space="preserve">Figure 2 shows the average PSQI scores of the five groups at baseline and after the intervention. The PSQI score in the Full-CMATS group decreased the most, which was significantly better than that in the control group and the single-mode group. At baseline, the average PSQI scores of each group were comparable (ranging from 14.0±2.0 to </w:t>
      </w:r>
      <w:r>
        <w:rPr>
          <w:rFonts w:hint="eastAsia"/>
        </w:rPr>
        <w:t>14.5±2.5). After the intervention, the difference in the reduction of the average PSQI score was statistically significant (F(4,</w:t>
      </w:r>
      <w:proofErr w:type="gramStart"/>
      <w:r>
        <w:rPr>
          <w:rFonts w:hint="eastAsia"/>
        </w:rPr>
        <w:t>95)=</w:t>
      </w:r>
      <w:proofErr w:type="gramEnd"/>
      <w:r>
        <w:rPr>
          <w:rFonts w:hint="eastAsia"/>
        </w:rPr>
        <w:t>15.</w:t>
      </w:r>
      <w:proofErr w:type="gramStart"/>
      <w:r>
        <w:rPr>
          <w:rFonts w:hint="eastAsia"/>
        </w:rPr>
        <w:t>2,p</w:t>
      </w:r>
      <w:proofErr w:type="gramEnd"/>
      <w:r>
        <w:rPr>
          <w:rFonts w:hint="eastAsia"/>
        </w:rPr>
        <w:t>&lt;0.001). The Full-CMATS group achieved the maximum score of 6.5 (ranging from 14.5±2.5 to 8.0±1.5), outperforming the control group (3.5 points) and all single-module groups (A-CMATS:4.5 points, V-CMATS:3.8 points, H-CMATS:4.2 points).</w:t>
      </w:r>
    </w:p>
    <w:p w14:paraId="3CC92693" w14:textId="77777777" w:rsidR="00B873AF" w:rsidRDefault="00B873AF">
      <w:pPr>
        <w:pStyle w:val="Bodytextwithindent"/>
        <w:ind w:firstLine="0"/>
        <w:rPr>
          <w:lang w:val="en-US"/>
        </w:rPr>
        <w:sectPr w:rsidR="00B873AF">
          <w:type w:val="continuous"/>
          <w:pgSz w:w="11906" w:h="16838"/>
          <w:pgMar w:top="1644" w:right="907" w:bottom="1531" w:left="907" w:header="680" w:footer="680" w:gutter="0"/>
          <w:cols w:num="2" w:space="720" w:equalWidth="0">
            <w:col w:w="4876" w:space="340"/>
            <w:col w:w="4876"/>
          </w:cols>
          <w:titlePg/>
        </w:sectPr>
      </w:pPr>
    </w:p>
    <w:p w14:paraId="0BD9BC22" w14:textId="77777777" w:rsidR="00B873AF" w:rsidRDefault="00000000">
      <w:pPr>
        <w:pStyle w:val="Bodytextwithindent"/>
        <w:ind w:firstLine="0"/>
        <w:jc w:val="center"/>
        <w:rPr>
          <w:lang w:val="en-US"/>
        </w:rPr>
      </w:pPr>
      <w:r>
        <w:rPr>
          <w:noProof/>
          <w:lang w:val="en-US"/>
        </w:rPr>
        <w:drawing>
          <wp:inline distT="0" distB="0" distL="114300" distR="114300" wp14:anchorId="6B2801BE" wp14:editId="78D7B8A0">
            <wp:extent cx="5760085" cy="3455670"/>
            <wp:effectExtent l="0" t="0" r="5715" b="24130"/>
            <wp:docPr id="15" name="图片 15" descr="/Users/hch/Library/Containers/com.kingsoft.wpsoffice.mac/Data/tmp/photoeditapp/20251115115723/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Users/hch/Library/Containers/com.kingsoft.wpsoffice.mac/Data/tmp/photoeditapp/20251115115723/temp.pngtemp"/>
                    <pic:cNvPicPr>
                      <a:picLocks noChangeAspect="1"/>
                    </pic:cNvPicPr>
                  </pic:nvPicPr>
                  <pic:blipFill>
                    <a:blip r:embed="rId18"/>
                    <a:stretch>
                      <a:fillRect/>
                    </a:stretch>
                  </pic:blipFill>
                  <pic:spPr>
                    <a:xfrm>
                      <a:off x="0" y="0"/>
                      <a:ext cx="5760085" cy="3455670"/>
                    </a:xfrm>
                    <a:prstGeom prst="rect">
                      <a:avLst/>
                    </a:prstGeom>
                  </pic:spPr>
                </pic:pic>
              </a:graphicData>
            </a:graphic>
          </wp:inline>
        </w:drawing>
      </w:r>
    </w:p>
    <w:p w14:paraId="3B1318F4" w14:textId="77777777" w:rsidR="00B873AF" w:rsidRDefault="00000000">
      <w:pPr>
        <w:pStyle w:val="Captions"/>
      </w:pPr>
      <w:r>
        <w:rPr>
          <w:rFonts w:ascii="Arial Bold" w:hAnsi="Arial Bold" w:cs="Arial Bold"/>
          <w:b/>
          <w:bCs w:val="0"/>
        </w:rPr>
        <w:t xml:space="preserve">Figure 2. </w:t>
      </w:r>
      <w:r>
        <w:rPr>
          <w:rFonts w:hint="eastAsia"/>
        </w:rPr>
        <w:t>Comparison of Pittsburgh Sleep Quality Index (PSQI) scores among the five intervention groups</w:t>
      </w:r>
    </w:p>
    <w:p w14:paraId="66B10FBF" w14:textId="77777777" w:rsidR="00B873AF" w:rsidRDefault="00B873AF">
      <w:pPr>
        <w:pStyle w:val="31"/>
        <w:sectPr w:rsidR="00B873AF">
          <w:headerReference w:type="first" r:id="rId19"/>
          <w:type w:val="continuous"/>
          <w:pgSz w:w="11906" w:h="16838"/>
          <w:pgMar w:top="1644" w:right="907" w:bottom="1531" w:left="907" w:header="680" w:footer="680" w:gutter="0"/>
          <w:cols w:space="425"/>
          <w:titlePg/>
        </w:sectPr>
      </w:pPr>
    </w:p>
    <w:p w14:paraId="31B5FAB0" w14:textId="77777777" w:rsidR="00B873AF" w:rsidRDefault="00000000">
      <w:pPr>
        <w:pStyle w:val="31"/>
      </w:pPr>
      <w:r>
        <w:rPr>
          <w:rFonts w:hint="eastAsia"/>
        </w:rPr>
        <w:lastRenderedPageBreak/>
        <w:t>4.2.3 Neurophysiological results (EEG and HRV)</w:t>
      </w:r>
    </w:p>
    <w:p w14:paraId="2D5F05C9" w14:textId="77777777" w:rsidR="00B873AF" w:rsidRDefault="00000000">
      <w:pPr>
        <w:pStyle w:val="Bodytextwithindent"/>
        <w:ind w:firstLine="0"/>
        <w:rPr>
          <w:rFonts w:ascii="Times New Roman Bold" w:hAnsi="Times New Roman Bold" w:cs="Times New Roman Bold"/>
          <w:b/>
          <w:bCs w:val="0"/>
        </w:rPr>
      </w:pPr>
      <w:r>
        <w:rPr>
          <w:rFonts w:ascii="Times New Roman Bold" w:hAnsi="Times New Roman Bold" w:cs="Times New Roman Bold"/>
          <w:b/>
          <w:bCs w:val="0"/>
        </w:rPr>
        <w:t>4.2.3.1 EEG Power Spectral Density (PSD)</w:t>
      </w:r>
    </w:p>
    <w:p w14:paraId="316DAD50" w14:textId="77777777" w:rsidR="00B873AF" w:rsidRDefault="00000000">
      <w:pPr>
        <w:pStyle w:val="Bodytextwithindent"/>
        <w:ind w:firstLine="0"/>
      </w:pPr>
      <w:r>
        <w:rPr>
          <w:rFonts w:hint="eastAsia"/>
        </w:rPr>
        <w:t xml:space="preserve">Figure 3 compares the percentage changes in α, θ and δ power of all five groups from baseline to within the first hour after intervention. The Full-CMATS intervention showed the most significant changes on the EEG spectrum, demonstrating obvious synergistic effects. Specifically, the relative power of the α wave (8-12Hz) in the Full-CMATS group decreased by 18.5% (associated with awakening/awakening), which was </w:t>
      </w:r>
      <w:r>
        <w:rPr>
          <w:rFonts w:hint="eastAsia"/>
        </w:rPr>
        <w:t>significantly greater than the 5.2% decrease in the control group (p&lt;0.01). Meanwhile, the relative power of δ waves (0.5-4Hz) increased by 25.1% (associated with deep sleep/slow-wave sleep), significantly higher than the 8.9% increase in the control group (p&lt;0.001). The power of θ waves (4-8Hz) also increased by 15.3% in the treatment group, which was higher than 4.1% in the control group (p&lt;0.05).</w:t>
      </w:r>
    </w:p>
    <w:p w14:paraId="579E9FDE" w14:textId="77777777" w:rsidR="00B873AF" w:rsidRDefault="00B873AF">
      <w:pPr>
        <w:pStyle w:val="Bodytextwithindent"/>
        <w:ind w:firstLine="0"/>
        <w:rPr>
          <w:lang w:val="en-US"/>
        </w:rPr>
        <w:sectPr w:rsidR="00B873AF">
          <w:type w:val="continuous"/>
          <w:pgSz w:w="11906" w:h="16838"/>
          <w:pgMar w:top="1644" w:right="907" w:bottom="1531" w:left="907" w:header="680" w:footer="680" w:gutter="0"/>
          <w:cols w:num="2" w:space="720" w:equalWidth="0">
            <w:col w:w="4876" w:space="340"/>
            <w:col w:w="4876"/>
          </w:cols>
          <w:titlePg/>
        </w:sectPr>
      </w:pPr>
    </w:p>
    <w:p w14:paraId="7B67DE43" w14:textId="77777777" w:rsidR="00B873AF" w:rsidRDefault="00000000">
      <w:pPr>
        <w:pStyle w:val="Bodytextwithindent"/>
        <w:ind w:firstLine="0"/>
        <w:jc w:val="center"/>
        <w:rPr>
          <w:lang w:val="en-US"/>
        </w:rPr>
      </w:pPr>
      <w:r>
        <w:rPr>
          <w:noProof/>
          <w:lang w:val="en-US"/>
        </w:rPr>
        <w:drawing>
          <wp:inline distT="0" distB="0" distL="114300" distR="114300" wp14:anchorId="06D2D3D4" wp14:editId="4F837006">
            <wp:extent cx="4443736" cy="2592261"/>
            <wp:effectExtent l="0" t="0" r="0" b="0"/>
            <wp:docPr id="16" name="图片 16" descr="/Users/hch/Library/Containers/com.kingsoft.wpsoffice.mac/Data/tmp/photoeditapp/20251115115806/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Users/hch/Library/Containers/com.kingsoft.wpsoffice.mac/Data/tmp/photoeditapp/20251115115806/temp.pngtemp"/>
                    <pic:cNvPicPr>
                      <a:picLocks noChangeAspect="1"/>
                    </pic:cNvPicPr>
                  </pic:nvPicPr>
                  <pic:blipFill>
                    <a:blip r:embed="rId20"/>
                    <a:stretch>
                      <a:fillRect/>
                    </a:stretch>
                  </pic:blipFill>
                  <pic:spPr>
                    <a:xfrm>
                      <a:off x="0" y="0"/>
                      <a:ext cx="4453587" cy="2598007"/>
                    </a:xfrm>
                    <a:prstGeom prst="rect">
                      <a:avLst/>
                    </a:prstGeom>
                  </pic:spPr>
                </pic:pic>
              </a:graphicData>
            </a:graphic>
          </wp:inline>
        </w:drawing>
      </w:r>
    </w:p>
    <w:p w14:paraId="5AC6AFA4" w14:textId="77777777" w:rsidR="00B873AF" w:rsidRDefault="00000000">
      <w:pPr>
        <w:pStyle w:val="Captions"/>
      </w:pPr>
      <w:r>
        <w:rPr>
          <w:rFonts w:ascii="Arial Bold" w:hAnsi="Arial Bold" w:cs="Arial Bold"/>
          <w:b/>
          <w:bCs w:val="0"/>
        </w:rPr>
        <w:t xml:space="preserve">Figure 3. </w:t>
      </w:r>
      <w:r>
        <w:rPr>
          <w:rFonts w:hint="eastAsia"/>
        </w:rPr>
        <w:t>Changes in relative EEG power spectral density (PSD) of the five intervention groups</w:t>
      </w:r>
    </w:p>
    <w:p w14:paraId="134D17CC" w14:textId="77777777" w:rsidR="00B873AF" w:rsidRDefault="00B873AF">
      <w:pPr>
        <w:pStyle w:val="Bodytextwithindent"/>
        <w:ind w:firstLine="0"/>
        <w:rPr>
          <w:rFonts w:ascii="Times New Roman Bold" w:hAnsi="Times New Roman Bold" w:cs="Times New Roman Bold"/>
          <w:b/>
          <w:bCs w:val="0"/>
        </w:rPr>
        <w:sectPr w:rsidR="00B873AF">
          <w:type w:val="continuous"/>
          <w:pgSz w:w="11906" w:h="16838"/>
          <w:pgMar w:top="1644" w:right="907" w:bottom="1531" w:left="907" w:header="680" w:footer="680" w:gutter="0"/>
          <w:cols w:space="425"/>
          <w:titlePg/>
        </w:sectPr>
      </w:pPr>
    </w:p>
    <w:p w14:paraId="0F96B232" w14:textId="77777777" w:rsidR="00B873AF" w:rsidRDefault="00000000">
      <w:pPr>
        <w:pStyle w:val="Bodytextwithindent"/>
        <w:ind w:firstLine="0"/>
        <w:rPr>
          <w:rFonts w:ascii="Times New Roman Bold" w:hAnsi="Times New Roman Bold" w:cs="Times New Roman Bold"/>
          <w:b/>
          <w:bCs w:val="0"/>
        </w:rPr>
      </w:pPr>
      <w:r>
        <w:rPr>
          <w:rFonts w:ascii="Times New Roman Bold" w:hAnsi="Times New Roman Bold" w:cs="Times New Roman Bold"/>
          <w:b/>
          <w:bCs w:val="0"/>
        </w:rPr>
        <w:t>4.2.3.2 Heart Rate Variability (HRV)</w:t>
      </w:r>
    </w:p>
    <w:p w14:paraId="403494F4" w14:textId="459855E3" w:rsidR="00B873AF" w:rsidRPr="006B303C" w:rsidRDefault="00000000">
      <w:pPr>
        <w:pStyle w:val="Bodytextwithindent"/>
        <w:ind w:firstLine="0"/>
        <w:rPr>
          <w:rFonts w:eastAsiaTheme="minorEastAsia" w:hint="eastAsia"/>
          <w:lang w:eastAsia="zh-CN"/>
        </w:rPr>
        <w:sectPr w:rsidR="00B873AF" w:rsidRPr="006B303C">
          <w:type w:val="continuous"/>
          <w:pgSz w:w="11906" w:h="16838"/>
          <w:pgMar w:top="1644" w:right="907" w:bottom="1531" w:left="907" w:header="680" w:footer="680" w:gutter="0"/>
          <w:cols w:num="2" w:space="720" w:equalWidth="0">
            <w:col w:w="4876" w:space="340"/>
            <w:col w:w="4876"/>
          </w:cols>
          <w:titlePg/>
        </w:sectPr>
      </w:pPr>
      <w:r>
        <w:rPr>
          <w:rFonts w:hint="eastAsia"/>
        </w:rPr>
        <w:t xml:space="preserve">Table 3 provides a detailed description of the changes in key HRV indicators reflecting the balance of the autonomic nervous system (ANS). Compared with all the other groups, </w:t>
      </w:r>
      <w:r>
        <w:rPr>
          <w:rFonts w:hint="eastAsia"/>
        </w:rPr>
        <w:t>the Full-CMATS group showed the most significant parasympathetic dominant transformation, with a significant increase in RMSSD and a significant decrease in the LF/HF ratio (p&lt;0</w:t>
      </w:r>
    </w:p>
    <w:p w14:paraId="3C432E2E" w14:textId="77777777" w:rsidR="00B873AF" w:rsidRPr="006B303C" w:rsidRDefault="00B873AF">
      <w:pPr>
        <w:pStyle w:val="Bodytextwithindent"/>
        <w:ind w:firstLine="0"/>
        <w:rPr>
          <w:rFonts w:eastAsiaTheme="minorEastAsia" w:hint="eastAsia"/>
          <w:lang w:eastAsia="zh-CN"/>
        </w:rPr>
      </w:pPr>
    </w:p>
    <w:p w14:paraId="784F76DF" w14:textId="77777777" w:rsidR="00B873AF" w:rsidRDefault="00000000">
      <w:pPr>
        <w:pStyle w:val="Captions"/>
      </w:pPr>
      <w:r>
        <w:rPr>
          <w:rFonts w:hint="eastAsia"/>
        </w:rPr>
        <w:t>Table 3. Comparison of Heart Rate Variability (HRV) Metrics Before and After   Intervention</w:t>
      </w:r>
    </w:p>
    <w:tbl>
      <w:tblPr>
        <w:tblStyle w:val="TableNormal"/>
        <w:tblW w:w="10096" w:type="dxa"/>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1326"/>
        <w:gridCol w:w="1221"/>
        <w:gridCol w:w="1701"/>
        <w:gridCol w:w="2673"/>
        <w:gridCol w:w="1091"/>
        <w:gridCol w:w="766"/>
        <w:gridCol w:w="1318"/>
      </w:tblGrid>
      <w:tr w:rsidR="00B873AF" w14:paraId="0D9A6543" w14:textId="77777777" w:rsidTr="006B303C">
        <w:trPr>
          <w:trHeight w:val="870"/>
        </w:trPr>
        <w:tc>
          <w:tcPr>
            <w:tcW w:w="1326" w:type="dxa"/>
            <w:tcBorders>
              <w:top w:val="single" w:sz="12" w:space="0" w:color="000000"/>
              <w:left w:val="nil"/>
              <w:bottom w:val="single" w:sz="4" w:space="0" w:color="000000"/>
              <w:right w:val="nil"/>
              <w:tl2br w:val="nil"/>
            </w:tcBorders>
            <w:shd w:val="clear" w:color="auto" w:fill="FFFFFF"/>
          </w:tcPr>
          <w:p w14:paraId="1B9032E3" w14:textId="77777777" w:rsidR="00B873AF" w:rsidRDefault="00000000">
            <w:pPr>
              <w:pStyle w:val="TableText0"/>
              <w:rPr>
                <w:rFonts w:hint="eastAsia"/>
              </w:rPr>
            </w:pPr>
            <w:r>
              <w:t>Metric</w:t>
            </w:r>
          </w:p>
        </w:tc>
        <w:tc>
          <w:tcPr>
            <w:tcW w:w="1221" w:type="dxa"/>
            <w:tcBorders>
              <w:top w:val="single" w:sz="12" w:space="0" w:color="000000"/>
              <w:left w:val="nil"/>
              <w:bottom w:val="single" w:sz="4" w:space="0" w:color="000000"/>
              <w:right w:val="nil"/>
            </w:tcBorders>
            <w:shd w:val="clear" w:color="auto" w:fill="FFFFFF"/>
          </w:tcPr>
          <w:p w14:paraId="05FCFB45" w14:textId="77777777" w:rsidR="00B873AF" w:rsidRDefault="00000000">
            <w:pPr>
              <w:pStyle w:val="TableText0"/>
              <w:rPr>
                <w:rFonts w:hint="eastAsia"/>
              </w:rPr>
            </w:pPr>
            <w:r>
              <w:t>Group</w:t>
            </w:r>
          </w:p>
        </w:tc>
        <w:tc>
          <w:tcPr>
            <w:tcW w:w="1701" w:type="dxa"/>
            <w:tcBorders>
              <w:top w:val="single" w:sz="12" w:space="0" w:color="000000"/>
              <w:left w:val="nil"/>
              <w:bottom w:val="single" w:sz="4" w:space="0" w:color="000000"/>
              <w:right w:val="nil"/>
            </w:tcBorders>
            <w:shd w:val="clear" w:color="auto" w:fill="FFFFFF"/>
          </w:tcPr>
          <w:p w14:paraId="55404082" w14:textId="77777777" w:rsidR="00B873AF" w:rsidRDefault="00000000">
            <w:pPr>
              <w:pStyle w:val="TableText0"/>
              <w:rPr>
                <w:rFonts w:hint="eastAsia"/>
              </w:rPr>
            </w:pPr>
            <w:r>
              <w:t>Baseline (</w:t>
            </w:r>
            <w:r>
              <w:ruby>
                <w:rubyPr>
                  <w:rubyAlign w:val="left"/>
                  <w:hps w:val="23"/>
                  <w:hpsRaise w:val="-2"/>
                  <w:hpsBaseText w:val="21"/>
                  <w:lid w:val="en-US"/>
                </w:rubyPr>
                <w:rt>
                  <w:r>
                    <w:t>ˉ</w:t>
                  </w:r>
                </w:rt>
                <w:rubyBase>
                  <w:r>
                    <w:t>x</w:t>
                  </w:r>
                </w:rubyBase>
              </w:ruby>
            </w:r>
            <w:r>
              <w:t xml:space="preserve"> ± s)</w:t>
            </w:r>
          </w:p>
        </w:tc>
        <w:tc>
          <w:tcPr>
            <w:tcW w:w="2673" w:type="dxa"/>
            <w:tcBorders>
              <w:top w:val="single" w:sz="12" w:space="0" w:color="000000"/>
              <w:left w:val="nil"/>
              <w:bottom w:val="single" w:sz="4" w:space="0" w:color="000000"/>
              <w:right w:val="nil"/>
            </w:tcBorders>
            <w:shd w:val="clear" w:color="auto" w:fill="FFFFFF"/>
          </w:tcPr>
          <w:p w14:paraId="1CF7AF25" w14:textId="77777777" w:rsidR="00B873AF" w:rsidRDefault="00000000">
            <w:pPr>
              <w:pStyle w:val="TableText0"/>
              <w:rPr>
                <w:rFonts w:hint="eastAsia"/>
              </w:rPr>
            </w:pPr>
            <w:r>
              <w:t>Post-Intervention</w:t>
            </w:r>
          </w:p>
          <w:p w14:paraId="6506D1D7" w14:textId="77777777" w:rsidR="00B873AF" w:rsidRDefault="00000000">
            <w:pPr>
              <w:pStyle w:val="TableText0"/>
              <w:rPr>
                <w:rFonts w:hint="eastAsia"/>
              </w:rPr>
            </w:pPr>
            <w:r>
              <w:t>(</w:t>
            </w:r>
            <w:r>
              <w:ruby>
                <w:rubyPr>
                  <w:rubyAlign w:val="left"/>
                  <w:hps w:val="23"/>
                  <w:hpsRaise w:val="0"/>
                  <w:hpsBaseText w:val="21"/>
                  <w:lid w:val="en-US"/>
                </w:rubyPr>
                <w:rt>
                  <w:r>
                    <w:t>ˉ</w:t>
                  </w:r>
                </w:rt>
                <w:rubyBase>
                  <w:r>
                    <w:t>x</w:t>
                  </w:r>
                </w:rubyBase>
              </w:ruby>
            </w:r>
            <w:r>
              <w:t xml:space="preserve"> ± s)</w:t>
            </w:r>
          </w:p>
        </w:tc>
        <w:tc>
          <w:tcPr>
            <w:tcW w:w="1091" w:type="dxa"/>
            <w:tcBorders>
              <w:top w:val="single" w:sz="12" w:space="0" w:color="000000"/>
              <w:left w:val="nil"/>
              <w:bottom w:val="single" w:sz="4" w:space="0" w:color="000000"/>
              <w:right w:val="nil"/>
            </w:tcBorders>
            <w:shd w:val="clear" w:color="auto" w:fill="FFFFFF"/>
          </w:tcPr>
          <w:p w14:paraId="51AD162C" w14:textId="77777777" w:rsidR="00B873AF" w:rsidRDefault="00000000">
            <w:pPr>
              <w:pStyle w:val="TableText0"/>
              <w:rPr>
                <w:rFonts w:hint="eastAsia"/>
              </w:rPr>
            </w:pPr>
            <w:r>
              <w:t>Δ Change</w:t>
            </w:r>
          </w:p>
        </w:tc>
        <w:tc>
          <w:tcPr>
            <w:tcW w:w="766" w:type="dxa"/>
            <w:tcBorders>
              <w:top w:val="single" w:sz="12" w:space="0" w:color="000000"/>
              <w:left w:val="nil"/>
              <w:bottom w:val="single" w:sz="4" w:space="0" w:color="000000"/>
              <w:right w:val="nil"/>
            </w:tcBorders>
            <w:shd w:val="clear" w:color="auto" w:fill="FFFFFF"/>
          </w:tcPr>
          <w:p w14:paraId="7838737E" w14:textId="77777777" w:rsidR="00B873AF" w:rsidRDefault="00000000">
            <w:pPr>
              <w:pStyle w:val="TableText0"/>
              <w:rPr>
                <w:rFonts w:hint="eastAsia"/>
              </w:rPr>
            </w:pPr>
            <w:r>
              <w:t>t-value</w:t>
            </w:r>
          </w:p>
        </w:tc>
        <w:tc>
          <w:tcPr>
            <w:tcW w:w="1318" w:type="dxa"/>
            <w:tcBorders>
              <w:top w:val="single" w:sz="12" w:space="0" w:color="000000"/>
              <w:left w:val="nil"/>
              <w:bottom w:val="single" w:sz="4" w:space="0" w:color="000000"/>
              <w:right w:val="nil"/>
            </w:tcBorders>
            <w:shd w:val="clear" w:color="auto" w:fill="FFFFFF"/>
          </w:tcPr>
          <w:p w14:paraId="28B39CFD" w14:textId="77777777" w:rsidR="00B873AF" w:rsidRDefault="00000000">
            <w:pPr>
              <w:pStyle w:val="TableText0"/>
              <w:rPr>
                <w:rFonts w:hint="eastAsia"/>
              </w:rPr>
            </w:pPr>
            <w:r>
              <w:t>p-value</w:t>
            </w:r>
          </w:p>
        </w:tc>
      </w:tr>
      <w:tr w:rsidR="00B873AF" w14:paraId="59CDA362" w14:textId="77777777" w:rsidTr="006B303C">
        <w:trPr>
          <w:trHeight w:val="388"/>
        </w:trPr>
        <w:tc>
          <w:tcPr>
            <w:tcW w:w="1326" w:type="dxa"/>
            <w:tcBorders>
              <w:top w:val="single" w:sz="4" w:space="0" w:color="000000"/>
              <w:left w:val="nil"/>
              <w:bottom w:val="nil"/>
              <w:right w:val="nil"/>
            </w:tcBorders>
            <w:shd w:val="clear" w:color="auto" w:fill="FFFFFF"/>
          </w:tcPr>
          <w:p w14:paraId="772B7C86" w14:textId="77777777" w:rsidR="00B873AF" w:rsidRDefault="00000000">
            <w:pPr>
              <w:pStyle w:val="TableText0"/>
              <w:rPr>
                <w:rFonts w:hint="eastAsia"/>
              </w:rPr>
            </w:pPr>
            <w:r>
              <w:t>RMSSD (</w:t>
            </w:r>
            <w:proofErr w:type="spellStart"/>
            <w:r>
              <w:t>ms</w:t>
            </w:r>
            <w:proofErr w:type="spellEnd"/>
            <w:r>
              <w:t>)</w:t>
            </w:r>
          </w:p>
        </w:tc>
        <w:tc>
          <w:tcPr>
            <w:tcW w:w="1221" w:type="dxa"/>
            <w:tcBorders>
              <w:top w:val="single" w:sz="4" w:space="0" w:color="000000"/>
              <w:left w:val="nil"/>
              <w:bottom w:val="nil"/>
              <w:right w:val="nil"/>
            </w:tcBorders>
            <w:shd w:val="clear" w:color="auto" w:fill="FFFFFF"/>
          </w:tcPr>
          <w:p w14:paraId="5A5521EE" w14:textId="77777777" w:rsidR="00B873AF" w:rsidRDefault="00000000">
            <w:pPr>
              <w:pStyle w:val="TableText0"/>
              <w:rPr>
                <w:rFonts w:hint="eastAsia"/>
              </w:rPr>
            </w:pPr>
            <w:r>
              <w:t>Control</w:t>
            </w:r>
          </w:p>
        </w:tc>
        <w:tc>
          <w:tcPr>
            <w:tcW w:w="1701" w:type="dxa"/>
            <w:tcBorders>
              <w:top w:val="single" w:sz="4" w:space="0" w:color="000000"/>
              <w:left w:val="nil"/>
              <w:bottom w:val="nil"/>
              <w:right w:val="nil"/>
            </w:tcBorders>
            <w:shd w:val="clear" w:color="auto" w:fill="FFFFFF"/>
          </w:tcPr>
          <w:p w14:paraId="0F038E0B" w14:textId="77777777" w:rsidR="00B873AF" w:rsidRDefault="00000000">
            <w:pPr>
              <w:pStyle w:val="TableText0"/>
              <w:rPr>
                <w:rFonts w:hint="eastAsia"/>
              </w:rPr>
            </w:pPr>
            <w:r>
              <w:t>5.2 ± 8.1</w:t>
            </w:r>
          </w:p>
        </w:tc>
        <w:tc>
          <w:tcPr>
            <w:tcW w:w="2673" w:type="dxa"/>
            <w:tcBorders>
              <w:top w:val="single" w:sz="4" w:space="0" w:color="000000"/>
              <w:left w:val="nil"/>
              <w:bottom w:val="nil"/>
              <w:right w:val="nil"/>
            </w:tcBorders>
            <w:shd w:val="clear" w:color="auto" w:fill="FFFFFF"/>
          </w:tcPr>
          <w:p w14:paraId="166CE2A9" w14:textId="77777777" w:rsidR="00B873AF" w:rsidRDefault="00000000">
            <w:pPr>
              <w:pStyle w:val="TableText0"/>
              <w:rPr>
                <w:rFonts w:hint="eastAsia"/>
              </w:rPr>
            </w:pPr>
            <w:r>
              <w:t>40.5 ± 7.5</w:t>
            </w:r>
          </w:p>
        </w:tc>
        <w:tc>
          <w:tcPr>
            <w:tcW w:w="1091" w:type="dxa"/>
            <w:tcBorders>
              <w:top w:val="single" w:sz="4" w:space="0" w:color="000000"/>
              <w:left w:val="nil"/>
              <w:bottom w:val="nil"/>
              <w:right w:val="nil"/>
            </w:tcBorders>
            <w:shd w:val="clear" w:color="auto" w:fill="FFFFFF"/>
          </w:tcPr>
          <w:p w14:paraId="6A403CBE" w14:textId="77777777" w:rsidR="00B873AF" w:rsidRDefault="00000000">
            <w:pPr>
              <w:pStyle w:val="TableText0"/>
              <w:rPr>
                <w:rFonts w:hint="eastAsia"/>
              </w:rPr>
            </w:pPr>
            <w:r>
              <w:t>+5.3</w:t>
            </w:r>
          </w:p>
        </w:tc>
        <w:tc>
          <w:tcPr>
            <w:tcW w:w="766" w:type="dxa"/>
            <w:tcBorders>
              <w:top w:val="single" w:sz="4" w:space="0" w:color="000000"/>
              <w:left w:val="nil"/>
              <w:bottom w:val="nil"/>
              <w:right w:val="nil"/>
            </w:tcBorders>
            <w:shd w:val="clear" w:color="auto" w:fill="FFFFFF"/>
          </w:tcPr>
          <w:p w14:paraId="3D672C93" w14:textId="77777777" w:rsidR="00B873AF" w:rsidRDefault="00000000">
            <w:pPr>
              <w:pStyle w:val="TableText0"/>
              <w:rPr>
                <w:rFonts w:hint="eastAsia"/>
              </w:rPr>
            </w:pPr>
            <w:r>
              <w:t>2.11</w:t>
            </w:r>
          </w:p>
        </w:tc>
        <w:tc>
          <w:tcPr>
            <w:tcW w:w="1318" w:type="dxa"/>
            <w:tcBorders>
              <w:top w:val="single" w:sz="4" w:space="0" w:color="000000"/>
              <w:left w:val="nil"/>
              <w:bottom w:val="nil"/>
              <w:right w:val="nil"/>
            </w:tcBorders>
            <w:shd w:val="clear" w:color="auto" w:fill="FFFFFF"/>
          </w:tcPr>
          <w:p w14:paraId="3A25DE4B" w14:textId="77777777" w:rsidR="00B873AF" w:rsidRDefault="00000000">
            <w:pPr>
              <w:pStyle w:val="TableText0"/>
              <w:rPr>
                <w:rFonts w:hint="eastAsia"/>
              </w:rPr>
            </w:pPr>
            <w:r>
              <w:t>0.041∗</w:t>
            </w:r>
          </w:p>
        </w:tc>
      </w:tr>
      <w:tr w:rsidR="00B873AF" w14:paraId="48C831F9" w14:textId="77777777" w:rsidTr="006B303C">
        <w:trPr>
          <w:trHeight w:val="378"/>
        </w:trPr>
        <w:tc>
          <w:tcPr>
            <w:tcW w:w="1326" w:type="dxa"/>
            <w:tcBorders>
              <w:top w:val="nil"/>
              <w:left w:val="nil"/>
              <w:bottom w:val="nil"/>
              <w:right w:val="nil"/>
            </w:tcBorders>
            <w:shd w:val="clear" w:color="auto" w:fill="FFFFFF"/>
          </w:tcPr>
          <w:p w14:paraId="4101D306" w14:textId="77777777" w:rsidR="00B873AF" w:rsidRDefault="00B873AF">
            <w:pPr>
              <w:pStyle w:val="TableText0"/>
              <w:rPr>
                <w:rFonts w:hint="eastAsia"/>
              </w:rPr>
            </w:pPr>
          </w:p>
        </w:tc>
        <w:tc>
          <w:tcPr>
            <w:tcW w:w="1221" w:type="dxa"/>
            <w:tcBorders>
              <w:top w:val="nil"/>
              <w:left w:val="nil"/>
              <w:bottom w:val="nil"/>
              <w:right w:val="nil"/>
            </w:tcBorders>
            <w:shd w:val="clear" w:color="auto" w:fill="FFFFFF"/>
          </w:tcPr>
          <w:p w14:paraId="7E0960A5" w14:textId="77777777" w:rsidR="00B873AF" w:rsidRDefault="00000000">
            <w:pPr>
              <w:pStyle w:val="TableText0"/>
              <w:rPr>
                <w:rFonts w:hint="eastAsia"/>
              </w:rPr>
            </w:pPr>
            <w:r>
              <w:t>Treatment</w:t>
            </w:r>
          </w:p>
        </w:tc>
        <w:tc>
          <w:tcPr>
            <w:tcW w:w="1701" w:type="dxa"/>
            <w:tcBorders>
              <w:top w:val="nil"/>
              <w:left w:val="nil"/>
              <w:bottom w:val="nil"/>
              <w:right w:val="nil"/>
            </w:tcBorders>
            <w:shd w:val="clear" w:color="auto" w:fill="FFFFFF"/>
          </w:tcPr>
          <w:p w14:paraId="48CDA77B" w14:textId="77777777" w:rsidR="00B873AF" w:rsidRDefault="00000000">
            <w:pPr>
              <w:pStyle w:val="TableText0"/>
              <w:rPr>
                <w:rFonts w:hint="eastAsia"/>
              </w:rPr>
            </w:pPr>
            <w:r>
              <w:t>34.9 ± 7.9</w:t>
            </w:r>
          </w:p>
        </w:tc>
        <w:tc>
          <w:tcPr>
            <w:tcW w:w="2673" w:type="dxa"/>
            <w:tcBorders>
              <w:top w:val="nil"/>
              <w:left w:val="nil"/>
              <w:bottom w:val="nil"/>
              <w:right w:val="nil"/>
            </w:tcBorders>
            <w:shd w:val="clear" w:color="auto" w:fill="FFFFFF"/>
          </w:tcPr>
          <w:p w14:paraId="149EF82C" w14:textId="77777777" w:rsidR="00B873AF" w:rsidRDefault="00000000">
            <w:pPr>
              <w:pStyle w:val="TableText0"/>
              <w:rPr>
                <w:rFonts w:hint="eastAsia"/>
              </w:rPr>
            </w:pPr>
            <w:r>
              <w:t>51.8 ± 9.2</w:t>
            </w:r>
          </w:p>
        </w:tc>
        <w:tc>
          <w:tcPr>
            <w:tcW w:w="1091" w:type="dxa"/>
            <w:tcBorders>
              <w:top w:val="nil"/>
              <w:left w:val="nil"/>
              <w:bottom w:val="nil"/>
              <w:right w:val="nil"/>
            </w:tcBorders>
            <w:shd w:val="clear" w:color="auto" w:fill="FFFFFF"/>
          </w:tcPr>
          <w:p w14:paraId="31A36556" w14:textId="77777777" w:rsidR="00B873AF" w:rsidRDefault="00000000">
            <w:pPr>
              <w:pStyle w:val="TableText0"/>
              <w:rPr>
                <w:rFonts w:hint="eastAsia"/>
              </w:rPr>
            </w:pPr>
            <w:r>
              <w:t>+16.9</w:t>
            </w:r>
          </w:p>
        </w:tc>
        <w:tc>
          <w:tcPr>
            <w:tcW w:w="766" w:type="dxa"/>
            <w:tcBorders>
              <w:top w:val="nil"/>
              <w:left w:val="nil"/>
              <w:bottom w:val="nil"/>
              <w:right w:val="nil"/>
            </w:tcBorders>
            <w:shd w:val="clear" w:color="auto" w:fill="FFFFFF"/>
          </w:tcPr>
          <w:p w14:paraId="6473544E" w14:textId="77777777" w:rsidR="00B873AF" w:rsidRDefault="00000000">
            <w:pPr>
              <w:pStyle w:val="TableText0"/>
              <w:rPr>
                <w:rFonts w:hint="eastAsia"/>
              </w:rPr>
            </w:pPr>
            <w:r>
              <w:t>5.98</w:t>
            </w:r>
          </w:p>
        </w:tc>
        <w:tc>
          <w:tcPr>
            <w:tcW w:w="1318" w:type="dxa"/>
            <w:tcBorders>
              <w:top w:val="nil"/>
              <w:left w:val="nil"/>
              <w:bottom w:val="nil"/>
              <w:right w:val="nil"/>
            </w:tcBorders>
            <w:shd w:val="clear" w:color="auto" w:fill="FFFFFF"/>
          </w:tcPr>
          <w:p w14:paraId="377619CA" w14:textId="77777777" w:rsidR="00B873AF" w:rsidRDefault="00000000">
            <w:pPr>
              <w:pStyle w:val="TableText0"/>
              <w:rPr>
                <w:rFonts w:hint="eastAsia"/>
              </w:rPr>
            </w:pPr>
            <w:r>
              <w:t>&lt;0.001∗∗∗</w:t>
            </w:r>
          </w:p>
        </w:tc>
      </w:tr>
      <w:tr w:rsidR="00B873AF" w14:paraId="647FC55A" w14:textId="77777777" w:rsidTr="006B303C">
        <w:trPr>
          <w:trHeight w:val="378"/>
        </w:trPr>
        <w:tc>
          <w:tcPr>
            <w:tcW w:w="1326" w:type="dxa"/>
            <w:tcBorders>
              <w:top w:val="nil"/>
              <w:left w:val="nil"/>
              <w:bottom w:val="nil"/>
              <w:right w:val="nil"/>
            </w:tcBorders>
            <w:shd w:val="clear" w:color="auto" w:fill="FFFFFF"/>
          </w:tcPr>
          <w:p w14:paraId="43320442" w14:textId="77777777" w:rsidR="00B873AF" w:rsidRDefault="00000000">
            <w:pPr>
              <w:pStyle w:val="TableText0"/>
              <w:rPr>
                <w:rFonts w:hint="eastAsia"/>
              </w:rPr>
            </w:pPr>
            <w:r>
              <w:t>LF/HF Ratio</w:t>
            </w:r>
          </w:p>
        </w:tc>
        <w:tc>
          <w:tcPr>
            <w:tcW w:w="1221" w:type="dxa"/>
            <w:tcBorders>
              <w:top w:val="nil"/>
              <w:left w:val="nil"/>
              <w:bottom w:val="nil"/>
              <w:right w:val="nil"/>
            </w:tcBorders>
            <w:shd w:val="clear" w:color="auto" w:fill="FFFFFF"/>
          </w:tcPr>
          <w:p w14:paraId="70DA39E8" w14:textId="77777777" w:rsidR="00B873AF" w:rsidRDefault="00000000">
            <w:pPr>
              <w:pStyle w:val="TableText0"/>
              <w:rPr>
                <w:rFonts w:hint="eastAsia"/>
              </w:rPr>
            </w:pPr>
            <w:r>
              <w:t>Control</w:t>
            </w:r>
          </w:p>
        </w:tc>
        <w:tc>
          <w:tcPr>
            <w:tcW w:w="1701" w:type="dxa"/>
            <w:tcBorders>
              <w:top w:val="nil"/>
              <w:left w:val="nil"/>
              <w:bottom w:val="nil"/>
              <w:right w:val="nil"/>
            </w:tcBorders>
            <w:shd w:val="clear" w:color="auto" w:fill="FFFFFF"/>
          </w:tcPr>
          <w:p w14:paraId="7EEC62A0" w14:textId="77777777" w:rsidR="00B873AF" w:rsidRDefault="00000000">
            <w:pPr>
              <w:pStyle w:val="TableText0"/>
              <w:rPr>
                <w:rFonts w:hint="eastAsia"/>
              </w:rPr>
            </w:pPr>
            <w:r>
              <w:t>1.85 ± 0.35</w:t>
            </w:r>
          </w:p>
        </w:tc>
        <w:tc>
          <w:tcPr>
            <w:tcW w:w="2673" w:type="dxa"/>
            <w:tcBorders>
              <w:top w:val="nil"/>
              <w:left w:val="nil"/>
              <w:bottom w:val="nil"/>
              <w:right w:val="nil"/>
            </w:tcBorders>
            <w:shd w:val="clear" w:color="auto" w:fill="FFFFFF"/>
          </w:tcPr>
          <w:p w14:paraId="4D90A350" w14:textId="77777777" w:rsidR="00B873AF" w:rsidRDefault="00000000">
            <w:pPr>
              <w:pStyle w:val="TableText0"/>
              <w:rPr>
                <w:rFonts w:hint="eastAsia"/>
              </w:rPr>
            </w:pPr>
            <w:r>
              <w:t>1.60 ± 0.30</w:t>
            </w:r>
          </w:p>
        </w:tc>
        <w:tc>
          <w:tcPr>
            <w:tcW w:w="1091" w:type="dxa"/>
            <w:tcBorders>
              <w:top w:val="nil"/>
              <w:left w:val="nil"/>
              <w:bottom w:val="nil"/>
              <w:right w:val="nil"/>
            </w:tcBorders>
            <w:shd w:val="clear" w:color="auto" w:fill="FFFFFF"/>
          </w:tcPr>
          <w:p w14:paraId="40D61266" w14:textId="77777777" w:rsidR="00B873AF" w:rsidRDefault="00000000">
            <w:pPr>
              <w:pStyle w:val="TableText0"/>
              <w:rPr>
                <w:rFonts w:hint="eastAsia"/>
              </w:rPr>
            </w:pPr>
            <w:r>
              <w:t>−0.25</w:t>
            </w:r>
          </w:p>
        </w:tc>
        <w:tc>
          <w:tcPr>
            <w:tcW w:w="766" w:type="dxa"/>
            <w:tcBorders>
              <w:top w:val="nil"/>
              <w:left w:val="nil"/>
              <w:bottom w:val="nil"/>
              <w:right w:val="nil"/>
            </w:tcBorders>
            <w:shd w:val="clear" w:color="auto" w:fill="FFFFFF"/>
          </w:tcPr>
          <w:p w14:paraId="6F8CA0D4" w14:textId="77777777" w:rsidR="00B873AF" w:rsidRDefault="00000000">
            <w:pPr>
              <w:pStyle w:val="TableText0"/>
              <w:rPr>
                <w:rFonts w:hint="eastAsia"/>
              </w:rPr>
            </w:pPr>
            <w:r>
              <w:t>2.05</w:t>
            </w:r>
          </w:p>
        </w:tc>
        <w:tc>
          <w:tcPr>
            <w:tcW w:w="1318" w:type="dxa"/>
            <w:tcBorders>
              <w:top w:val="nil"/>
              <w:left w:val="nil"/>
              <w:bottom w:val="nil"/>
              <w:right w:val="nil"/>
            </w:tcBorders>
            <w:shd w:val="clear" w:color="auto" w:fill="FFFFFF"/>
          </w:tcPr>
          <w:p w14:paraId="0102D3B0" w14:textId="77777777" w:rsidR="00B873AF" w:rsidRDefault="00000000">
            <w:pPr>
              <w:pStyle w:val="TableText0"/>
              <w:rPr>
                <w:rFonts w:hint="eastAsia"/>
              </w:rPr>
            </w:pPr>
            <w:r>
              <w:t>0.047∗</w:t>
            </w:r>
          </w:p>
        </w:tc>
      </w:tr>
      <w:tr w:rsidR="00B873AF" w14:paraId="00E45735" w14:textId="77777777" w:rsidTr="006B303C">
        <w:trPr>
          <w:trHeight w:val="786"/>
        </w:trPr>
        <w:tc>
          <w:tcPr>
            <w:tcW w:w="1326" w:type="dxa"/>
            <w:tcBorders>
              <w:top w:val="nil"/>
              <w:left w:val="nil"/>
              <w:bottom w:val="single" w:sz="12" w:space="0" w:color="000000"/>
              <w:right w:val="nil"/>
            </w:tcBorders>
            <w:shd w:val="clear" w:color="auto" w:fill="FFFFFF"/>
          </w:tcPr>
          <w:p w14:paraId="14C2F34D" w14:textId="77777777" w:rsidR="00B873AF" w:rsidRDefault="00B873AF">
            <w:pPr>
              <w:pStyle w:val="TableText0"/>
              <w:rPr>
                <w:rFonts w:hint="eastAsia"/>
              </w:rPr>
            </w:pPr>
          </w:p>
        </w:tc>
        <w:tc>
          <w:tcPr>
            <w:tcW w:w="1221" w:type="dxa"/>
            <w:tcBorders>
              <w:top w:val="nil"/>
              <w:left w:val="nil"/>
              <w:bottom w:val="single" w:sz="12" w:space="0" w:color="000000"/>
              <w:right w:val="nil"/>
            </w:tcBorders>
            <w:shd w:val="clear" w:color="auto" w:fill="FFFFFF"/>
          </w:tcPr>
          <w:p w14:paraId="15FC9B9B" w14:textId="77777777" w:rsidR="00B873AF" w:rsidRDefault="00000000">
            <w:pPr>
              <w:pStyle w:val="TableText0"/>
              <w:rPr>
                <w:rFonts w:hint="eastAsia"/>
              </w:rPr>
            </w:pPr>
            <w:r>
              <w:t>Treatment</w:t>
            </w:r>
          </w:p>
        </w:tc>
        <w:tc>
          <w:tcPr>
            <w:tcW w:w="1701" w:type="dxa"/>
            <w:tcBorders>
              <w:top w:val="nil"/>
              <w:left w:val="nil"/>
              <w:bottom w:val="single" w:sz="12" w:space="0" w:color="000000"/>
              <w:right w:val="nil"/>
            </w:tcBorders>
            <w:shd w:val="clear" w:color="auto" w:fill="FFFFFF"/>
          </w:tcPr>
          <w:p w14:paraId="16EA397E" w14:textId="77777777" w:rsidR="00B873AF" w:rsidRDefault="00000000">
            <w:pPr>
              <w:pStyle w:val="TableText0"/>
              <w:rPr>
                <w:rFonts w:hint="eastAsia"/>
              </w:rPr>
            </w:pPr>
            <w:r>
              <w:t>1.88 ± 0.40</w:t>
            </w:r>
          </w:p>
        </w:tc>
        <w:tc>
          <w:tcPr>
            <w:tcW w:w="2673" w:type="dxa"/>
            <w:tcBorders>
              <w:top w:val="nil"/>
              <w:left w:val="nil"/>
              <w:bottom w:val="single" w:sz="12" w:space="0" w:color="000000"/>
              <w:right w:val="nil"/>
            </w:tcBorders>
            <w:shd w:val="clear" w:color="auto" w:fill="FFFFFF"/>
          </w:tcPr>
          <w:p w14:paraId="32AC4262" w14:textId="77777777" w:rsidR="00B873AF" w:rsidRDefault="00000000">
            <w:pPr>
              <w:pStyle w:val="TableText0"/>
              <w:rPr>
                <w:rFonts w:hint="eastAsia"/>
              </w:rPr>
            </w:pPr>
            <w:r>
              <w:t>1.15 ± 0.25</w:t>
            </w:r>
          </w:p>
        </w:tc>
        <w:tc>
          <w:tcPr>
            <w:tcW w:w="1091" w:type="dxa"/>
            <w:tcBorders>
              <w:top w:val="nil"/>
              <w:left w:val="nil"/>
              <w:bottom w:val="single" w:sz="12" w:space="0" w:color="000000"/>
              <w:right w:val="nil"/>
            </w:tcBorders>
            <w:shd w:val="clear" w:color="auto" w:fill="FFFFFF"/>
          </w:tcPr>
          <w:p w14:paraId="157B7881" w14:textId="77777777" w:rsidR="00B873AF" w:rsidRDefault="00000000">
            <w:pPr>
              <w:pStyle w:val="TableText0"/>
              <w:rPr>
                <w:rFonts w:hint="eastAsia"/>
              </w:rPr>
            </w:pPr>
            <w:r>
              <w:t>−0.73</w:t>
            </w:r>
          </w:p>
        </w:tc>
        <w:tc>
          <w:tcPr>
            <w:tcW w:w="766" w:type="dxa"/>
            <w:tcBorders>
              <w:top w:val="nil"/>
              <w:left w:val="nil"/>
              <w:bottom w:val="single" w:sz="12" w:space="0" w:color="000000"/>
              <w:right w:val="nil"/>
            </w:tcBorders>
            <w:shd w:val="clear" w:color="auto" w:fill="FFFFFF"/>
          </w:tcPr>
          <w:p w14:paraId="3CCAAA9B" w14:textId="77777777" w:rsidR="00B873AF" w:rsidRDefault="00000000">
            <w:pPr>
              <w:pStyle w:val="TableText0"/>
              <w:rPr>
                <w:rFonts w:hint="eastAsia"/>
              </w:rPr>
            </w:pPr>
            <w:r>
              <w:t>6.55</w:t>
            </w:r>
          </w:p>
        </w:tc>
        <w:tc>
          <w:tcPr>
            <w:tcW w:w="1318" w:type="dxa"/>
            <w:tcBorders>
              <w:top w:val="nil"/>
              <w:left w:val="nil"/>
              <w:bottom w:val="single" w:sz="12" w:space="0" w:color="000000"/>
              <w:right w:val="nil"/>
            </w:tcBorders>
            <w:shd w:val="clear" w:color="auto" w:fill="FFFFFF"/>
          </w:tcPr>
          <w:p w14:paraId="45FFC98F" w14:textId="77777777" w:rsidR="00B873AF" w:rsidRDefault="00000000">
            <w:pPr>
              <w:pStyle w:val="TableText0"/>
              <w:rPr>
                <w:rFonts w:hint="eastAsia"/>
              </w:rPr>
            </w:pPr>
            <w:r>
              <w:t>&lt;0.001∗∗∗</w:t>
            </w:r>
          </w:p>
        </w:tc>
      </w:tr>
    </w:tbl>
    <w:p w14:paraId="52F24114" w14:textId="77777777" w:rsidR="00B873AF" w:rsidRDefault="00000000">
      <w:pPr>
        <w:pStyle w:val="Footnotetext"/>
      </w:pPr>
      <w:r>
        <w:t>Note: RMSSD</w:t>
      </w:r>
      <w:r>
        <w:rPr>
          <w:lang w:val="en-US"/>
        </w:rPr>
        <w:t xml:space="preserve"> </w:t>
      </w:r>
      <w:r>
        <w:rPr>
          <w:rFonts w:eastAsia="宋体" w:hint="eastAsia"/>
          <w:lang w:val="en-US" w:eastAsia="zh-CN"/>
        </w:rPr>
        <w:t>re</w:t>
      </w:r>
      <w:r>
        <w:rPr>
          <w:rFonts w:eastAsia="宋体"/>
          <w:lang w:val="en-US" w:eastAsia="zh-CN"/>
        </w:rPr>
        <w:t xml:space="preserve">flects </w:t>
      </w:r>
      <w:r>
        <w:t xml:space="preserve">parasympathetic activity; LF/HF ratio </w:t>
      </w:r>
      <w:r>
        <w:rPr>
          <w:rFonts w:eastAsia="宋体" w:hint="eastAsia"/>
          <w:lang w:val="en-US" w:eastAsia="zh-CN"/>
        </w:rPr>
        <w:t>re</w:t>
      </w:r>
      <w:r>
        <w:rPr>
          <w:rFonts w:eastAsia="宋体"/>
          <w:lang w:val="en-US" w:eastAsia="zh-CN"/>
        </w:rPr>
        <w:t>flects</w:t>
      </w:r>
      <w:r>
        <w:rPr>
          <w:lang w:val="en-US"/>
        </w:rPr>
        <w:t xml:space="preserve"> </w:t>
      </w:r>
      <w:proofErr w:type="spellStart"/>
      <w:r>
        <w:t>sympathovagal</w:t>
      </w:r>
      <w:proofErr w:type="spellEnd"/>
      <w:r>
        <w:t xml:space="preserve"> balance</w:t>
      </w:r>
      <w:r>
        <w:rPr>
          <w:lang w:val="en-US"/>
        </w:rPr>
        <w:t xml:space="preserve"> </w:t>
      </w:r>
      <w:r>
        <w:t>(lower is more parasympathetic).</w:t>
      </w:r>
    </w:p>
    <w:p w14:paraId="32B77848" w14:textId="576B2A5C" w:rsidR="00B873AF" w:rsidRDefault="006B303C">
      <w:pPr>
        <w:pStyle w:val="11"/>
      </w:pPr>
      <w:r>
        <w:rPr>
          <w:noProof/>
        </w:rPr>
        <mc:AlternateContent>
          <mc:Choice Requires="wps">
            <w:drawing>
              <wp:anchor distT="0" distB="0" distL="114300" distR="114300" simplePos="0" relativeHeight="251659264" behindDoc="0" locked="0" layoutInCell="1" allowOverlap="1" wp14:anchorId="004A0EAF" wp14:editId="4544E509">
                <wp:simplePos x="0" y="0"/>
                <wp:positionH relativeFrom="margin">
                  <wp:align>right</wp:align>
                </wp:positionH>
                <wp:positionV relativeFrom="page">
                  <wp:posOffset>1031189</wp:posOffset>
                </wp:positionV>
                <wp:extent cx="6407785" cy="0"/>
                <wp:effectExtent l="0" t="0" r="0" b="0"/>
                <wp:wrapNone/>
                <wp:docPr id="149676266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ln>
                      </wps:spPr>
                      <wps:bodyPr/>
                    </wps:wsp>
                  </a:graphicData>
                </a:graphic>
              </wp:anchor>
            </w:drawing>
          </mc:Choice>
          <mc:Fallback>
            <w:pict>
              <v:shape w14:anchorId="4687F72F" id="AutoShape 5" o:spid="_x0000_s1026" type="#_x0000_t32" style="position:absolute;margin-left:453.35pt;margin-top:81.2pt;width:504.55pt;height:0;z-index:251659264;visibility:visible;mso-wrap-style:square;mso-wrap-distance-left:9pt;mso-wrap-distance-top:0;mso-wrap-distance-right:9pt;mso-wrap-distance-bottom:0;mso-position-horizontal:right;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5rAEAAD8DAAAOAAAAZHJzL2Uyb0RvYy54bWysUsFu2zAMvQ/oPwi6L3aCrSmMOD2kaC/d&#10;FqDtBzCybAuVRYFUYufvJ6lJWrS3YT4Ipig+vvfI1e00WHHQxAZdLeezUgrtFDbGdbV8eb7/fiMF&#10;B3ANWHS6lkfN8nZ99W01+kovsEfbaBIRxHE1+lr2IfiqKFj1egCeodcuJlukAUIMqSsagjGiD7ZY&#10;lOV1MSI1nlBp5nh795aU64zftlqFP23LOghby8gt5JPyuUtnsV5B1RH43qgTDfgHFgMYF5teoO4g&#10;gNiT+QI1GEXI2IaZwqHAtjVKZw1Rzbz8pOapB6+zlmgO+4tN/P9g1e/Dxm0pUVeTe/KPqF5ZONz0&#10;4DqdCTwffRzcPFlVjJ6rS0kK2G9J7MZf2MQ3sA+YXZhaGhJk1CembPbxYraeglDx8vpHuVze/JRC&#10;nXMFVOdCTxweNA4i/dSSA4Hp+rBB5+JIkea5DRweOSRaUJ0LUleH98baPFnrxBi5L5ZlmSsYrWlS&#10;Nr1j6nYbS+IAaTnyl0XGzMdnhHvXvHWx7uRBkp12jKsdNsctnb2JU8p0ThuV1uBjnKvf9379FwAA&#10;//8DAFBLAwQUAAYACAAAACEAxjBRKtoAAAAJAQAADwAAAGRycy9kb3ducmV2LnhtbEyPwU7DMBBE&#10;70j8g7VI3Kjdqg0lxKkAiXNF2gu3TbyNI+J1FLtN+HtcCQmOOzOafVPsZteLC42h86xhuVAgiBtv&#10;Om41HA/vD1sQISIb7D2Thm8KsCtvbwrMjZ/4gy5VbEUq4ZCjBhvjkEsZGksOw8IPxMk7+dFhTOfY&#10;SjPilMpdL1dKZdJhx+mDxYHeLDVf1dlpeFybT4/Z66beTPtDpJOttvtZ6/u7+eUZRKQ5/oXhip/Q&#10;oUxMtT+zCaLXkIbEpGarNYirrdTTEkT9K8mykP8XlD8AAAD//wMAUEsBAi0AFAAGAAgAAAAhALaD&#10;OJL+AAAA4QEAABMAAAAAAAAAAAAAAAAAAAAAAFtDb250ZW50X1R5cGVzXS54bWxQSwECLQAUAAYA&#10;CAAAACEAOP0h/9YAAACUAQAACwAAAAAAAAAAAAAAAAAvAQAAX3JlbHMvLnJlbHNQSwECLQAUAAYA&#10;CAAAACEAPkCVOawBAAA/AwAADgAAAAAAAAAAAAAAAAAuAgAAZHJzL2Uyb0RvYy54bWxQSwECLQAU&#10;AAYACAAAACEAxjBRKtoAAAAJAQAADwAAAAAAAAAAAAAAAAAGBAAAZHJzL2Rvd25yZXYueG1sUEsF&#10;BgAAAAAEAAQA8wAAAA0FAAAAAA==&#10;" strokeweight="1pt">
                <w10:wrap anchorx="margin" anchory="page"/>
              </v:shape>
            </w:pict>
          </mc:Fallback>
        </mc:AlternateContent>
      </w:r>
    </w:p>
    <w:p w14:paraId="438E2332" w14:textId="2508A33D" w:rsidR="00B873AF" w:rsidRDefault="00B873AF">
      <w:pPr>
        <w:pStyle w:val="11"/>
        <w:sectPr w:rsidR="00B873AF">
          <w:type w:val="continuous"/>
          <w:pgSz w:w="11906" w:h="16838"/>
          <w:pgMar w:top="1644" w:right="907" w:bottom="1531" w:left="907" w:header="680" w:footer="680" w:gutter="0"/>
          <w:cols w:space="425"/>
          <w:titlePg/>
        </w:sectPr>
      </w:pPr>
    </w:p>
    <w:p w14:paraId="3EE9021E" w14:textId="77777777" w:rsidR="00B873AF" w:rsidRDefault="00000000">
      <w:pPr>
        <w:pStyle w:val="11"/>
      </w:pPr>
      <w:r>
        <w:rPr>
          <w:rFonts w:hint="eastAsia"/>
        </w:rPr>
        <w:t>5. Analysis and Discussion</w:t>
      </w:r>
    </w:p>
    <w:p w14:paraId="0C030148" w14:textId="7D4A01E9" w:rsidR="00B873AF" w:rsidRDefault="00000000">
      <w:pPr>
        <w:pStyle w:val="Bodytextnoindent"/>
      </w:pPr>
      <w:r>
        <w:rPr>
          <w:rFonts w:hint="eastAsia"/>
        </w:rPr>
        <w:lastRenderedPageBreak/>
        <w:t>The significant improvements in objective PSG in</w:t>
      </w:r>
      <w:r w:rsidR="006B303C">
        <w:rPr>
          <w:noProof/>
        </w:rPr>
        <mc:AlternateContent>
          <mc:Choice Requires="wps">
            <w:drawing>
              <wp:anchor distT="0" distB="0" distL="114300" distR="114300" simplePos="0" relativeHeight="251663360" behindDoc="0" locked="0" layoutInCell="1" allowOverlap="1" wp14:anchorId="1B385410" wp14:editId="5AFDAC93">
                <wp:simplePos x="0" y="0"/>
                <wp:positionH relativeFrom="column">
                  <wp:posOffset>0</wp:posOffset>
                </wp:positionH>
                <wp:positionV relativeFrom="page">
                  <wp:posOffset>1043305</wp:posOffset>
                </wp:positionV>
                <wp:extent cx="6407785" cy="0"/>
                <wp:effectExtent l="0" t="0" r="0" b="0"/>
                <wp:wrapNone/>
                <wp:docPr id="19424424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ln>
                      </wps:spPr>
                      <wps:bodyPr/>
                    </wps:wsp>
                  </a:graphicData>
                </a:graphic>
              </wp:anchor>
            </w:drawing>
          </mc:Choice>
          <mc:Fallback>
            <w:pict>
              <v:shape w14:anchorId="3A23F732" id="AutoShape 5" o:spid="_x0000_s1026" type="#_x0000_t32" style="position:absolute;margin-left:0;margin-top:82.15pt;width:504.55pt;height:0;z-index:25166336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5rAEAAD8DAAAOAAAAZHJzL2Uyb0RvYy54bWysUsFu2zAMvQ/oPwi6L3aCrSmMOD2kaC/d&#10;FqDtBzCybAuVRYFUYufvJ6lJWrS3YT4Ipig+vvfI1e00WHHQxAZdLeezUgrtFDbGdbV8eb7/fiMF&#10;B3ANWHS6lkfN8nZ99W01+kovsEfbaBIRxHE1+lr2IfiqKFj1egCeodcuJlukAUIMqSsagjGiD7ZY&#10;lOV1MSI1nlBp5nh795aU64zftlqFP23LOghby8gt5JPyuUtnsV5B1RH43qgTDfgHFgMYF5teoO4g&#10;gNiT+QI1GEXI2IaZwqHAtjVKZw1Rzbz8pOapB6+zlmgO+4tN/P9g1e/Dxm0pUVeTe/KPqF5ZONz0&#10;4DqdCTwffRzcPFlVjJ6rS0kK2G9J7MZf2MQ3sA+YXZhaGhJk1CembPbxYraeglDx8vpHuVze/JRC&#10;nXMFVOdCTxweNA4i/dSSA4Hp+rBB5+JIkea5DRweOSRaUJ0LUleH98baPFnrxBi5L5ZlmSsYrWlS&#10;Nr1j6nYbS+IAaTnyl0XGzMdnhHvXvHWx7uRBkp12jKsdNsctnb2JU8p0ThuV1uBjnKvf9379FwAA&#10;//8DAFBLAwQUAAYACAAAACEAw+RTjtoAAAAJAQAADwAAAGRycy9kb3ducmV2LnhtbEyPwU7DMBBE&#10;70j8g7VI3KhdaEMJcSpA4lyRcuG2ibdxRLyOYrcJf48rIdHjzoxm3xTb2fXiRGPoPGtYLhQI4sab&#10;jlsNn/v3uw2IEJEN9p5Jww8F2JbXVwXmxk/8QacqtiKVcMhRg41xyKUMjSWHYeEH4uQd/OgwpnNs&#10;pRlxSuWul/dKZdJhx+mDxYHeLDXf1dFpeFyZL4/Z67peT7t9pIOtNrtZ69ub+eUZRKQ5/ofhjJ/Q&#10;oUxMtT+yCaLXkIbEpGarBxBnW6mnJYj6T5JlIS8XlL8AAAD//wMAUEsBAi0AFAAGAAgAAAAhALaD&#10;OJL+AAAA4QEAABMAAAAAAAAAAAAAAAAAAAAAAFtDb250ZW50X1R5cGVzXS54bWxQSwECLQAUAAYA&#10;CAAAACEAOP0h/9YAAACUAQAACwAAAAAAAAAAAAAAAAAvAQAAX3JlbHMvLnJlbHNQSwECLQAUAAYA&#10;CAAAACEAPkCVOawBAAA/AwAADgAAAAAAAAAAAAAAAAAuAgAAZHJzL2Uyb0RvYy54bWxQSwECLQAU&#10;AAYACAAAACEAw+RTjtoAAAAJAQAADwAAAAAAAAAAAAAAAAAGBAAAZHJzL2Rvd25yZXYueG1sUEsF&#10;BgAAAAAEAAQA8wAAAA0FAAAAAA==&#10;" strokeweight="1pt">
                <w10:wrap anchory="page"/>
              </v:shape>
            </w:pict>
          </mc:Fallback>
        </mc:AlternateContent>
      </w:r>
      <w:r>
        <w:rPr>
          <w:rFonts w:hint="eastAsia"/>
        </w:rPr>
        <w:t>dicators (SL, TST, SE) and subjective PSQI scores in the CMATS group indicated that the CMATS group had obvious clinical advantages compared with the use of standard CBT-I alone. A reduction of 42.5 minutes in sleep latency is particularly significant, as prolonged sleep duration is a typical symptom of ID. Compared with all single-modal groups, Full-CMATS produced a stronger synergy than a single method, significantly enhancing the effect. Although auditory stimulation alone was the most effective single approach, adding synchronous visual and tactile inputs in the Full-CMATS group nearly doubled the improvement in key indicators such as sleep latency. This indicates that, compared with isolated stimuli, the brain's sleep-inducing network responds more strongly to a coherent multisensory environment. Cross-modal synchronization may enhance brainwave carrying and autonomic nervous system regulation more than any single modal. CBT-I teaches patients how to manage their awakenings, while CMATS uses designed sensory inputs to physiologically guide the brain and body into a state conducive to sleep.</w:t>
      </w:r>
    </w:p>
    <w:p w14:paraId="6A54EC76" w14:textId="77777777" w:rsidR="00B873AF" w:rsidRDefault="00000000">
      <w:pPr>
        <w:pStyle w:val="Bodytextwithindent"/>
      </w:pPr>
      <w:r>
        <w:rPr>
          <w:rFonts w:hint="eastAsia"/>
        </w:rPr>
        <w:t xml:space="preserve">The contribution of this study lies in the objective neurophysiological verification of the CMATS mechanism. The EEG and HRV results show that cross-modal stimulation is not merely a distraction but can truly regulate the physiological state of the participants. The δ and θ power in the electroencephalogram (EEG) significantly increased, while the α power decreased, indicating that synchronous auditory and visual stimuli (binaural beats and light stimulation) successfully induced brainwave synchronization, enabling neural activity to transition from a waking state dominated by α waves to a deep sleep state dominated by δ waves. Similarly, a significant improvement in HRV indicators (an increase in RMSSD and a decrease in the LF/HF ratio) indicates an enhanced degree of parasympathetic nerve dominance, which is helpful in combating the common sympathetic nerve overarousal in chronic insomnia </w:t>
      </w:r>
      <w:r>
        <w:rPr>
          <w:lang w:val="en-US"/>
        </w:rPr>
        <w:t>[19</w:t>
      </w:r>
      <w:r>
        <w:rPr>
          <w:rFonts w:hint="eastAsia"/>
        </w:rPr>
        <w:t xml:space="preserve">]. These changes indicate that low-frequency tactile and auditory stimuli may activate the </w:t>
      </w:r>
      <w:proofErr w:type="spellStart"/>
      <w:r>
        <w:rPr>
          <w:rFonts w:hint="eastAsia"/>
        </w:rPr>
        <w:t>vagus</w:t>
      </w:r>
      <w:proofErr w:type="spellEnd"/>
      <w:r>
        <w:rPr>
          <w:rFonts w:hint="eastAsia"/>
        </w:rPr>
        <w:t xml:space="preserve"> nerve pathway, thereby effectively </w:t>
      </w:r>
      <w:proofErr w:type="gramStart"/>
      <w:r>
        <w:rPr>
          <w:rFonts w:hint="eastAsia"/>
        </w:rPr>
        <w:t>inhibiting</w:t>
      </w:r>
      <w:proofErr w:type="gramEnd"/>
      <w:r>
        <w:rPr>
          <w:rFonts w:hint="eastAsia"/>
        </w:rPr>
        <w:t xml:space="preserve"> the sympathetic nerve activation response and helping the body naturally enter a rest mode.</w:t>
      </w:r>
    </w:p>
    <w:p w14:paraId="57006BBE" w14:textId="77777777" w:rsidR="00B873AF" w:rsidRDefault="00000000">
      <w:pPr>
        <w:pStyle w:val="Bodytextwithindent"/>
      </w:pPr>
      <w:r>
        <w:rPr>
          <w:rFonts w:hint="eastAsia"/>
        </w:rPr>
        <w:t xml:space="preserve">Compared with the existing </w:t>
      </w:r>
      <w:proofErr w:type="spellStart"/>
      <w:r>
        <w:rPr>
          <w:rFonts w:hint="eastAsia"/>
        </w:rPr>
        <w:t>dCBT</w:t>
      </w:r>
      <w:proofErr w:type="spellEnd"/>
      <w:r>
        <w:rPr>
          <w:rFonts w:hint="eastAsia"/>
        </w:rPr>
        <w:t>-I platform, the integrated software and hardware system provided by CMATS can offer real-time physiological regulation. Compared with traditional music therapy, CMATS offer a multi-sensory,</w:t>
      </w:r>
      <w:r>
        <w:rPr>
          <w:lang w:val="en-US"/>
        </w:rPr>
        <w:t xml:space="preserve"> </w:t>
      </w:r>
      <w:r>
        <w:rPr>
          <w:rFonts w:hint="eastAsia"/>
        </w:rPr>
        <w:t xml:space="preserve">synchronous and frequency-specific intervention, ensuring higher stimulation control and therapeutic precision. However, this study still has some limitations. Firstly, this randomized controlled trial adopted the pre-programmed open-loop CMATS version. Although the system can provide real-time stimuli with physiological effects, it still cannot adjust these stimuli based on the user's real-time physiological signals. Therefore, future work will focus on achieving a fully closed-loop biofeedback architecture, in which CMSA continuously monitors real-time EEG and HRV data and dynamically ADAPTS to stimulus parameters. This upgrade is expected to maximize the individualized </w:t>
      </w:r>
      <w:r>
        <w:rPr>
          <w:rFonts w:hint="eastAsia"/>
        </w:rPr>
        <w:t>entrainment efficacy and enhance clinical robustness. Secondly, the participants of this study were selected as insomniacs who could sleep alone, and they tried their best to eliminate distractions and possible disturbances to their roommates. In the future, we will continue to research more convenient system devices that do not disturb others. Finally, the intervention period of this study was only six weeks, and the long-term efficacy remains unclear. Therefore, follow-up evaluations need to be conducted at 6 months and 12 months to test the persistence of the efficacy and its potential in preventing recurrence.</w:t>
      </w:r>
    </w:p>
    <w:p w14:paraId="4632420C" w14:textId="77777777" w:rsidR="00B873AF" w:rsidRDefault="00000000">
      <w:pPr>
        <w:pStyle w:val="11"/>
      </w:pPr>
      <w:r>
        <w:rPr>
          <w:rFonts w:hint="eastAsia"/>
        </w:rPr>
        <w:t>6. Conclusion</w:t>
      </w:r>
    </w:p>
    <w:p w14:paraId="111CA107" w14:textId="77777777" w:rsidR="00B873AF" w:rsidRDefault="00000000">
      <w:pPr>
        <w:pStyle w:val="Bodytextnoindent"/>
      </w:pPr>
      <w:r>
        <w:rPr>
          <w:rFonts w:hint="eastAsia"/>
        </w:rPr>
        <w:t xml:space="preserve">This study designed and verified the synergistic advantages of the synchronous cross-modal art therapy system (CMATS) as an adjunctive intervention for CBT-I in the treatment of insomnia disorders. Based on the results of five randomized controlled trials (RCTS), we found that the Full-CMATS group had significantly better improvements in objective sleep indicators (SL, TST, SE) and subjective sleep quality (PSQI) than all single-modal intervention groups (A/V/H-CMATS) and the control group (CBT-I Only). It has fully demonstrated the synergistic effect generated by cross-modal synchronous stimulation, achieving the integrated advantage of "the overall effect being greater than the sum of its parts". Further EEG power spectral density (PSD) and HRV analyses revealed clear neurophysiological mechanisms: Full-CMATS induced significant brainwave </w:t>
      </w:r>
      <w:proofErr w:type="spellStart"/>
      <w:r>
        <w:rPr>
          <w:rFonts w:hint="eastAsia"/>
        </w:rPr>
        <w:t>entrainulation</w:t>
      </w:r>
      <w:proofErr w:type="spellEnd"/>
      <w:r>
        <w:rPr>
          <w:rFonts w:hint="eastAsia"/>
        </w:rPr>
        <w:t xml:space="preserve"> effects (increase in δ and θ power and decrease in α power), and promoted parasympathetic nerve dominance (improvement in HRV indicators), thereby explaining its clinical efficacy in a quantifiable and replicable manner. In addition, this study elevates art therapy to an engineered solution with precise parameter controllability and a mechanism verification foundation, and relies on wearable devices to achieve home monitoring, providing a feasible model for future large-scale, low-cost, and highly compliant digital therapy trials. In conclusion, CMATS offer a scalable, non-pharmaceutical and innovative approach to alleviating insomnia disorders worldwide. This study not only confirms the effectiveness of cross-modal art therapy but also lays a crucial foundation for the development and clinical transformation of the next generation of sleep medicine digital therapies through engineering methodology and neurophysiological evidence.</w:t>
      </w:r>
    </w:p>
    <w:p w14:paraId="125A34C8" w14:textId="77777777" w:rsidR="00B873AF" w:rsidRDefault="00000000">
      <w:pPr>
        <w:pStyle w:val="11"/>
      </w:pPr>
      <w:r>
        <w:t>References</w:t>
      </w:r>
    </w:p>
    <w:p w14:paraId="29A788B7" w14:textId="77777777" w:rsidR="00B873AF" w:rsidRDefault="00000000">
      <w:pPr>
        <w:pStyle w:val="References"/>
      </w:pPr>
      <w:r>
        <w:rPr>
          <w:rFonts w:hint="eastAsia"/>
        </w:rPr>
        <w:t xml:space="preserve">Bhaskar S, Hemavathy D, Prasad S. Prevalence of chronic insomnia in adult patients and its correlation with medical comorbidities. Journal of family medicine and primary care. 2016 Oct 1;5(4):780-4. </w:t>
      </w:r>
      <w:hyperlink r:id="rId21" w:history="1">
        <w:r w:rsidR="00B873AF">
          <w:rPr>
            <w:rStyle w:val="af2"/>
            <w:rFonts w:eastAsia="宋体" w:hint="eastAsia"/>
            <w:lang w:val="en-US" w:eastAsia="zh-CN"/>
          </w:rPr>
          <w:t>https://doi.org/</w:t>
        </w:r>
        <w:r w:rsidR="00B873AF">
          <w:rPr>
            <w:rStyle w:val="af2"/>
            <w:rFonts w:hint="eastAsia"/>
          </w:rPr>
          <w:t>10.4103/2249-4863.201153</w:t>
        </w:r>
      </w:hyperlink>
    </w:p>
    <w:p w14:paraId="1B34A6D4" w14:textId="77777777" w:rsidR="00B873AF" w:rsidRDefault="00000000">
      <w:pPr>
        <w:pStyle w:val="References"/>
      </w:pPr>
      <w:r>
        <w:rPr>
          <w:rFonts w:hint="eastAsia"/>
        </w:rPr>
        <w:t xml:space="preserve">Hafner M, Stepanek M, Taylor J, Troxel WM, Van Stolk C. Why sleep matters—the economic costs of insufficient sleep: </w:t>
      </w:r>
      <w:r>
        <w:rPr>
          <w:rFonts w:hint="eastAsia"/>
        </w:rPr>
        <w:lastRenderedPageBreak/>
        <w:t>a cross-country comparative analysis. Rand health quarterly. 2017 Jan 1;6(4):11.</w:t>
      </w:r>
      <w:r>
        <w:rPr>
          <w:rFonts w:eastAsia="宋体" w:hint="eastAsia"/>
          <w:lang w:val="en-US" w:eastAsia="zh-CN"/>
        </w:rPr>
        <w:t xml:space="preserve"> </w:t>
      </w:r>
    </w:p>
    <w:p w14:paraId="4DF0DE65" w14:textId="77777777" w:rsidR="00B873AF" w:rsidRDefault="00000000">
      <w:pPr>
        <w:pStyle w:val="References"/>
      </w:pPr>
      <w:r>
        <w:rPr>
          <w:rFonts w:hint="eastAsia"/>
        </w:rPr>
        <w:t xml:space="preserve">Fernandez-Mendoza J, </w:t>
      </w:r>
      <w:proofErr w:type="spellStart"/>
      <w:r>
        <w:rPr>
          <w:rFonts w:hint="eastAsia"/>
        </w:rPr>
        <w:t>Vgontzas</w:t>
      </w:r>
      <w:proofErr w:type="spellEnd"/>
      <w:r>
        <w:rPr>
          <w:rFonts w:hint="eastAsia"/>
        </w:rPr>
        <w:t xml:space="preserve"> AN. Insomnia and its impact on physical and mental health. Current psychiatry reports. 2013 Dec;15(12):418.</w:t>
      </w:r>
      <w:r>
        <w:rPr>
          <w:rFonts w:eastAsia="宋体" w:hint="eastAsia"/>
          <w:lang w:val="en-US" w:eastAsia="zh-CN"/>
        </w:rPr>
        <w:t xml:space="preserve"> </w:t>
      </w:r>
      <w:r>
        <w:rPr>
          <w:rFonts w:eastAsia="宋体" w:hint="eastAsia"/>
          <w:lang w:val="en-US" w:eastAsia="zh-CN"/>
        </w:rPr>
        <w:br/>
      </w:r>
      <w:hyperlink r:id="rId22" w:history="1">
        <w:r w:rsidR="00B873AF">
          <w:rPr>
            <w:rStyle w:val="af2"/>
            <w:rFonts w:eastAsia="宋体" w:hint="eastAsia"/>
            <w:lang w:val="en-US" w:eastAsia="zh-CN"/>
          </w:rPr>
          <w:t>https://doi.org/10.1007/s11920-013-0418-8</w:t>
        </w:r>
      </w:hyperlink>
    </w:p>
    <w:p w14:paraId="2C909831" w14:textId="77777777" w:rsidR="00B873AF" w:rsidRDefault="00000000">
      <w:pPr>
        <w:pStyle w:val="References"/>
      </w:pPr>
      <w:proofErr w:type="spellStart"/>
      <w:r>
        <w:rPr>
          <w:rFonts w:hint="eastAsia"/>
        </w:rPr>
        <w:t>Sateia</w:t>
      </w:r>
      <w:proofErr w:type="spellEnd"/>
      <w:r>
        <w:rPr>
          <w:rFonts w:hint="eastAsia"/>
        </w:rPr>
        <w:t xml:space="preserve"> MJ, Buysse DJ, Krystal AD, Neubauer DN, Heald JL. Clinical practice guideline for the pharmacologic treatment of chronic insomnia in adults: an American Academy of Sleep Medicine clinical practice guideline. Journal of clinical sleep medicine. 2017 Feb 15;13(2):307-49.</w:t>
      </w:r>
      <w:r>
        <w:rPr>
          <w:rFonts w:eastAsia="宋体" w:hint="eastAsia"/>
          <w:lang w:val="en-US" w:eastAsia="zh-CN"/>
        </w:rPr>
        <w:t xml:space="preserve"> </w:t>
      </w:r>
      <w:hyperlink r:id="rId23" w:history="1">
        <w:r w:rsidR="00B873AF">
          <w:rPr>
            <w:rStyle w:val="af2"/>
            <w:rFonts w:eastAsia="宋体" w:hint="eastAsia"/>
            <w:lang w:val="en-US" w:eastAsia="zh-CN"/>
          </w:rPr>
          <w:t>https://doi.org/10.5664/jcsm.6470</w:t>
        </w:r>
      </w:hyperlink>
    </w:p>
    <w:p w14:paraId="422B5EED" w14:textId="77777777" w:rsidR="00B873AF" w:rsidRDefault="00000000">
      <w:pPr>
        <w:pStyle w:val="References"/>
      </w:pPr>
      <w:r>
        <w:rPr>
          <w:rFonts w:hint="eastAsia"/>
        </w:rPr>
        <w:t xml:space="preserve">[x1] Rios P, Cardoso R, Morra D, Nincic V, Goodarzi Z, Farah B, Harricharan S, Morin CM, Leech J, Straus SE, </w:t>
      </w:r>
      <w:proofErr w:type="spellStart"/>
      <w:r>
        <w:rPr>
          <w:rFonts w:hint="eastAsia"/>
        </w:rPr>
        <w:t>Tricco</w:t>
      </w:r>
      <w:proofErr w:type="spellEnd"/>
      <w:r>
        <w:rPr>
          <w:rFonts w:hint="eastAsia"/>
        </w:rPr>
        <w:t xml:space="preserve"> AC. Comparative effectiveness and safety of pharmacological and non-pharmacological interventions for insomnia: an overview of reviews. Systematic reviews. 2019 Nov 15;8(1):281.</w:t>
      </w:r>
      <w:r>
        <w:rPr>
          <w:rFonts w:eastAsia="宋体" w:hint="eastAsia"/>
          <w:lang w:val="en-US" w:eastAsia="zh-CN"/>
        </w:rPr>
        <w:t xml:space="preserve"> </w:t>
      </w:r>
      <w:hyperlink r:id="rId24" w:history="1">
        <w:r w:rsidR="00B873AF">
          <w:rPr>
            <w:rStyle w:val="af2"/>
            <w:rFonts w:hint="eastAsia"/>
          </w:rPr>
          <w:t>https://doi.org/10.1186/s13643-019-1163-9</w:t>
        </w:r>
      </w:hyperlink>
    </w:p>
    <w:p w14:paraId="14E57CBF" w14:textId="77777777" w:rsidR="00B873AF" w:rsidRDefault="00000000">
      <w:pPr>
        <w:pStyle w:val="References"/>
      </w:pPr>
      <w:r>
        <w:rPr>
          <w:rFonts w:hint="eastAsia"/>
        </w:rPr>
        <w:t xml:space="preserve">4.Qaseem A, </w:t>
      </w:r>
      <w:proofErr w:type="spellStart"/>
      <w:r>
        <w:rPr>
          <w:rFonts w:hint="eastAsia"/>
        </w:rPr>
        <w:t>Kansagara</w:t>
      </w:r>
      <w:proofErr w:type="spellEnd"/>
      <w:r>
        <w:rPr>
          <w:rFonts w:hint="eastAsia"/>
        </w:rPr>
        <w:t xml:space="preserve"> D, </w:t>
      </w:r>
      <w:proofErr w:type="spellStart"/>
      <w:r>
        <w:rPr>
          <w:rFonts w:hint="eastAsia"/>
        </w:rPr>
        <w:t>Forciea</w:t>
      </w:r>
      <w:proofErr w:type="spellEnd"/>
      <w:r>
        <w:rPr>
          <w:rFonts w:hint="eastAsia"/>
        </w:rPr>
        <w:t xml:space="preserve"> MA, Cooke M, Denberg TD, Clinical Guidelines Committee of the American College of Physicians*. Management of chronic insomnia disorder in adults: a clinical practice guideline from the American College of Physicians. Annals of internal medicine. 2016 Jul 19;165(2):125-33.</w:t>
      </w:r>
      <w:r>
        <w:rPr>
          <w:rFonts w:eastAsia="宋体" w:hint="eastAsia"/>
          <w:lang w:val="en-US" w:eastAsia="zh-CN"/>
        </w:rPr>
        <w:t xml:space="preserve"> </w:t>
      </w:r>
      <w:hyperlink r:id="rId25" w:history="1">
        <w:r w:rsidR="00B873AF">
          <w:rPr>
            <w:rStyle w:val="af2"/>
            <w:rFonts w:eastAsia="宋体" w:hint="eastAsia"/>
            <w:lang w:val="en-US" w:eastAsia="zh-CN"/>
          </w:rPr>
          <w:t>https://doi.org/10.7326/M15-217</w:t>
        </w:r>
      </w:hyperlink>
    </w:p>
    <w:p w14:paraId="42EF6C46" w14:textId="77777777" w:rsidR="00B873AF" w:rsidRDefault="00000000">
      <w:pPr>
        <w:pStyle w:val="References"/>
      </w:pPr>
      <w:r>
        <w:rPr>
          <w:rFonts w:hint="eastAsia"/>
        </w:rPr>
        <w:t xml:space="preserve">Walker J, Muench A, Perlis ML, Vargas I. Cognitive </w:t>
      </w:r>
      <w:proofErr w:type="spellStart"/>
      <w:r>
        <w:rPr>
          <w:rFonts w:hint="eastAsia"/>
        </w:rPr>
        <w:t>behavioral</w:t>
      </w:r>
      <w:proofErr w:type="spellEnd"/>
      <w:r>
        <w:rPr>
          <w:rFonts w:hint="eastAsia"/>
        </w:rPr>
        <w:t xml:space="preserve"> therapy for insomnia (CBT-I): a primer. </w:t>
      </w:r>
      <w:proofErr w:type="spellStart"/>
      <w:r>
        <w:rPr>
          <w:rFonts w:hint="eastAsia"/>
        </w:rPr>
        <w:t>Klinicheskaia</w:t>
      </w:r>
      <w:proofErr w:type="spellEnd"/>
      <w:r>
        <w:rPr>
          <w:rFonts w:hint="eastAsia"/>
        </w:rPr>
        <w:t xml:space="preserve"> </w:t>
      </w:r>
      <w:proofErr w:type="spellStart"/>
      <w:r>
        <w:rPr>
          <w:rFonts w:hint="eastAsia"/>
        </w:rPr>
        <w:t>i</w:t>
      </w:r>
      <w:proofErr w:type="spellEnd"/>
      <w:r>
        <w:rPr>
          <w:rFonts w:hint="eastAsia"/>
        </w:rPr>
        <w:t xml:space="preserve"> </w:t>
      </w:r>
      <w:proofErr w:type="spellStart"/>
      <w:r>
        <w:rPr>
          <w:rFonts w:hint="eastAsia"/>
        </w:rPr>
        <w:t>spetsial'naia</w:t>
      </w:r>
      <w:proofErr w:type="spellEnd"/>
      <w:r>
        <w:rPr>
          <w:rFonts w:hint="eastAsia"/>
        </w:rPr>
        <w:t xml:space="preserve"> </w:t>
      </w:r>
      <w:proofErr w:type="spellStart"/>
      <w:r>
        <w:rPr>
          <w:rFonts w:hint="eastAsia"/>
        </w:rPr>
        <w:t>psikhologiia</w:t>
      </w:r>
      <w:proofErr w:type="spellEnd"/>
      <w:r>
        <w:rPr>
          <w:rFonts w:hint="eastAsia"/>
        </w:rPr>
        <w:t>= Clinical psychology and special education. 2022;11(2):123.</w:t>
      </w:r>
      <w:r>
        <w:rPr>
          <w:rFonts w:eastAsia="宋体" w:hint="eastAsia"/>
          <w:lang w:val="en-US" w:eastAsia="zh-CN"/>
        </w:rPr>
        <w:t xml:space="preserve"> </w:t>
      </w:r>
      <w:hyperlink r:id="rId26" w:history="1">
        <w:r w:rsidR="00B873AF">
          <w:rPr>
            <w:rStyle w:val="af2"/>
            <w:rFonts w:eastAsia="宋体" w:hint="eastAsia"/>
            <w:lang w:val="en-US" w:eastAsia="zh-CN"/>
          </w:rPr>
          <w:t>https://doi.org/10.17759/cpse.2022110208</w:t>
        </w:r>
      </w:hyperlink>
    </w:p>
    <w:p w14:paraId="76199ECE" w14:textId="77777777" w:rsidR="00B873AF" w:rsidRDefault="00000000">
      <w:pPr>
        <w:pStyle w:val="References"/>
      </w:pPr>
      <w:r>
        <w:rPr>
          <w:rFonts w:hint="eastAsia"/>
        </w:rPr>
        <w:t xml:space="preserve">Silvestri R. Sleep and ADHD: A complex and bidirectional relationship. Sleep Medicine Reviews. 2022 May </w:t>
      </w:r>
      <w:proofErr w:type="gramStart"/>
      <w:r>
        <w:rPr>
          <w:rFonts w:hint="eastAsia"/>
        </w:rPr>
        <w:t>7;63:101643</w:t>
      </w:r>
      <w:proofErr w:type="gramEnd"/>
      <w:r>
        <w:rPr>
          <w:rFonts w:hint="eastAsia"/>
        </w:rPr>
        <w:t>-.</w:t>
      </w:r>
      <w:r>
        <w:rPr>
          <w:rFonts w:eastAsia="宋体" w:hint="eastAsia"/>
          <w:lang w:val="en-US" w:eastAsia="zh-CN"/>
        </w:rPr>
        <w:t xml:space="preserve"> </w:t>
      </w:r>
      <w:hyperlink r:id="rId27" w:history="1">
        <w:r w:rsidR="00B873AF">
          <w:rPr>
            <w:rStyle w:val="af2"/>
            <w:rFonts w:eastAsia="宋体" w:hint="eastAsia"/>
            <w:lang w:val="en-US" w:eastAsia="zh-CN"/>
          </w:rPr>
          <w:t>https://doi.org/10.1016/j.smrv.2022.101643</w:t>
        </w:r>
      </w:hyperlink>
    </w:p>
    <w:p w14:paraId="4FEE3BD2" w14:textId="77777777" w:rsidR="00B873AF" w:rsidRDefault="00000000">
      <w:pPr>
        <w:pStyle w:val="References"/>
      </w:pPr>
      <w:r>
        <w:rPr>
          <w:rFonts w:hint="eastAsia"/>
        </w:rPr>
        <w:t xml:space="preserve">Luo X, Zhang A, Li H, Li Y, Ying F, Wang X, Yang Q, Zhang Z, Huang G. The role of arts therapies in mitigating Sleep Initiation and Maintenance Disorders: a systematic review. Frontiers in Psychiatry. 2024 May </w:t>
      </w:r>
      <w:proofErr w:type="gramStart"/>
      <w:r>
        <w:rPr>
          <w:rFonts w:hint="eastAsia"/>
        </w:rPr>
        <w:t>16;15:1386529</w:t>
      </w:r>
      <w:proofErr w:type="gramEnd"/>
      <w:r>
        <w:rPr>
          <w:rFonts w:hint="eastAsia"/>
        </w:rPr>
        <w:t>.</w:t>
      </w:r>
      <w:r>
        <w:rPr>
          <w:rFonts w:eastAsia="宋体" w:hint="eastAsia"/>
          <w:lang w:val="en-US" w:eastAsia="zh-CN"/>
        </w:rPr>
        <w:t xml:space="preserve"> </w:t>
      </w:r>
      <w:hyperlink r:id="rId28" w:history="1">
        <w:r w:rsidR="00B873AF">
          <w:rPr>
            <w:rStyle w:val="af2"/>
            <w:rFonts w:eastAsia="宋体" w:hint="eastAsia"/>
            <w:lang w:val="en-US" w:eastAsia="zh-CN"/>
          </w:rPr>
          <w:t>https://doi.org/10.3389/fpsyt.2024.1386529</w:t>
        </w:r>
      </w:hyperlink>
    </w:p>
    <w:p w14:paraId="0179D237" w14:textId="77777777" w:rsidR="00B873AF" w:rsidRDefault="00000000">
      <w:pPr>
        <w:pStyle w:val="References"/>
      </w:pPr>
      <w:r>
        <w:rPr>
          <w:rFonts w:hint="eastAsia"/>
        </w:rPr>
        <w:t xml:space="preserve">Walker J, Muench A, Perlis ML, Vargas I. Cognitive </w:t>
      </w:r>
      <w:proofErr w:type="spellStart"/>
      <w:r>
        <w:rPr>
          <w:rFonts w:hint="eastAsia"/>
        </w:rPr>
        <w:t>behavioral</w:t>
      </w:r>
      <w:proofErr w:type="spellEnd"/>
      <w:r>
        <w:rPr>
          <w:rFonts w:hint="eastAsia"/>
        </w:rPr>
        <w:t xml:space="preserve"> therapy for insomnia (CBT-I): a primer. </w:t>
      </w:r>
      <w:proofErr w:type="spellStart"/>
      <w:r>
        <w:rPr>
          <w:rFonts w:hint="eastAsia"/>
        </w:rPr>
        <w:t>Klinicheskaia</w:t>
      </w:r>
      <w:proofErr w:type="spellEnd"/>
      <w:r>
        <w:rPr>
          <w:rFonts w:hint="eastAsia"/>
        </w:rPr>
        <w:t xml:space="preserve"> </w:t>
      </w:r>
      <w:proofErr w:type="spellStart"/>
      <w:r>
        <w:rPr>
          <w:rFonts w:hint="eastAsia"/>
        </w:rPr>
        <w:t>i</w:t>
      </w:r>
      <w:proofErr w:type="spellEnd"/>
      <w:r>
        <w:rPr>
          <w:rFonts w:hint="eastAsia"/>
        </w:rPr>
        <w:t xml:space="preserve"> </w:t>
      </w:r>
      <w:proofErr w:type="spellStart"/>
      <w:r>
        <w:rPr>
          <w:rFonts w:hint="eastAsia"/>
        </w:rPr>
        <w:t>spetsial'naia</w:t>
      </w:r>
      <w:proofErr w:type="spellEnd"/>
      <w:r>
        <w:rPr>
          <w:rFonts w:hint="eastAsia"/>
        </w:rPr>
        <w:t xml:space="preserve"> </w:t>
      </w:r>
      <w:proofErr w:type="spellStart"/>
      <w:r>
        <w:rPr>
          <w:rFonts w:hint="eastAsia"/>
        </w:rPr>
        <w:t>psikhologiia</w:t>
      </w:r>
      <w:proofErr w:type="spellEnd"/>
      <w:r>
        <w:rPr>
          <w:rFonts w:hint="eastAsia"/>
        </w:rPr>
        <w:t>= Clinical psychology and special education. 2022;11(2):123.</w:t>
      </w:r>
      <w:r>
        <w:rPr>
          <w:rFonts w:eastAsia="宋体" w:hint="eastAsia"/>
          <w:lang w:val="en-US" w:eastAsia="zh-CN"/>
        </w:rPr>
        <w:t xml:space="preserve"> </w:t>
      </w:r>
      <w:hyperlink r:id="rId29" w:history="1">
        <w:r w:rsidR="00B873AF">
          <w:rPr>
            <w:rStyle w:val="af2"/>
            <w:rFonts w:hint="eastAsia"/>
          </w:rPr>
          <w:t>https://doi.org/10.17759/cpse.2022110208.</w:t>
        </w:r>
      </w:hyperlink>
    </w:p>
    <w:p w14:paraId="3982432D" w14:textId="77777777" w:rsidR="00B873AF" w:rsidRDefault="00000000">
      <w:pPr>
        <w:pStyle w:val="References"/>
      </w:pPr>
      <w:r>
        <w:rPr>
          <w:rFonts w:hint="eastAsia"/>
        </w:rPr>
        <w:t xml:space="preserve">Hwang JW, Lee GE, Woo JH, Kim SM, Kwon JY. Systematic review and meta-analysis on fully automated digital cognitive </w:t>
      </w:r>
      <w:proofErr w:type="spellStart"/>
      <w:r>
        <w:rPr>
          <w:rFonts w:hint="eastAsia"/>
        </w:rPr>
        <w:t>behavioral</w:t>
      </w:r>
      <w:proofErr w:type="spellEnd"/>
      <w:r>
        <w:rPr>
          <w:rFonts w:hint="eastAsia"/>
        </w:rPr>
        <w:t xml:space="preserve"> therapy for insomnia. </w:t>
      </w:r>
      <w:proofErr w:type="spellStart"/>
      <w:r>
        <w:rPr>
          <w:rFonts w:hint="eastAsia"/>
        </w:rPr>
        <w:t>npj</w:t>
      </w:r>
      <w:proofErr w:type="spellEnd"/>
      <w:r>
        <w:rPr>
          <w:rFonts w:hint="eastAsia"/>
        </w:rPr>
        <w:t xml:space="preserve"> Digital Medicine. 2025 Mar 12;8(1):157.</w:t>
      </w:r>
      <w:r>
        <w:rPr>
          <w:rFonts w:eastAsia="宋体" w:hint="eastAsia"/>
          <w:lang w:val="en-US" w:eastAsia="zh-CN"/>
        </w:rPr>
        <w:t xml:space="preserve"> </w:t>
      </w:r>
      <w:hyperlink r:id="rId30" w:history="1">
        <w:r w:rsidR="00B873AF">
          <w:rPr>
            <w:rStyle w:val="af2"/>
            <w:rFonts w:hint="eastAsia"/>
          </w:rPr>
          <w:t>https://doi.org/10.1038/s41746-025-01514-4.</w:t>
        </w:r>
      </w:hyperlink>
    </w:p>
    <w:p w14:paraId="5557DBDB" w14:textId="77777777" w:rsidR="00B873AF" w:rsidRDefault="00000000">
      <w:pPr>
        <w:pStyle w:val="References"/>
      </w:pPr>
      <w:r>
        <w:rPr>
          <w:rFonts w:hint="eastAsia"/>
        </w:rPr>
        <w:t xml:space="preserve">Hertenstein E, Feige B, Gmeiner T, Kienzler C, </w:t>
      </w:r>
      <w:proofErr w:type="spellStart"/>
      <w:r>
        <w:rPr>
          <w:rFonts w:hint="eastAsia"/>
        </w:rPr>
        <w:t>Spiegelhalder</w:t>
      </w:r>
      <w:proofErr w:type="spellEnd"/>
      <w:r>
        <w:rPr>
          <w:rFonts w:hint="eastAsia"/>
        </w:rPr>
        <w:t xml:space="preserve"> K, Johann A, Jansson-</w:t>
      </w:r>
      <w:proofErr w:type="spellStart"/>
      <w:r>
        <w:rPr>
          <w:rFonts w:hint="eastAsia"/>
        </w:rPr>
        <w:t>Fröjmark</w:t>
      </w:r>
      <w:proofErr w:type="spellEnd"/>
      <w:r>
        <w:rPr>
          <w:rFonts w:hint="eastAsia"/>
        </w:rPr>
        <w:t xml:space="preserve"> M, </w:t>
      </w:r>
      <w:proofErr w:type="spellStart"/>
      <w:r>
        <w:rPr>
          <w:rFonts w:hint="eastAsia"/>
        </w:rPr>
        <w:t>Palagini</w:t>
      </w:r>
      <w:proofErr w:type="spellEnd"/>
      <w:r>
        <w:rPr>
          <w:rFonts w:hint="eastAsia"/>
        </w:rPr>
        <w:t xml:space="preserve"> L, Rücker G, Riemann D, Baglioni C. Insomnia as a predictor of mental disorders: a systematic review and meta-analysis. Sleep medicine reviews. 2019 Feb </w:t>
      </w:r>
      <w:proofErr w:type="gramStart"/>
      <w:r>
        <w:rPr>
          <w:rFonts w:hint="eastAsia"/>
        </w:rPr>
        <w:t>1;43:96</w:t>
      </w:r>
      <w:proofErr w:type="gramEnd"/>
      <w:r>
        <w:rPr>
          <w:rFonts w:hint="eastAsia"/>
        </w:rPr>
        <w:t>-105.</w:t>
      </w:r>
      <w:r>
        <w:rPr>
          <w:rFonts w:eastAsia="宋体" w:hint="eastAsia"/>
          <w:lang w:val="en-US" w:eastAsia="zh-CN"/>
        </w:rPr>
        <w:t xml:space="preserve"> </w:t>
      </w:r>
      <w:hyperlink r:id="rId31" w:history="1">
        <w:r w:rsidR="00B873AF">
          <w:rPr>
            <w:rStyle w:val="af2"/>
            <w:rFonts w:eastAsia="宋体" w:hint="eastAsia"/>
            <w:lang w:val="en-US" w:eastAsia="zh-CN"/>
          </w:rPr>
          <w:t>https://doi.org/10.1016/j.smrv.2018.10.006</w:t>
        </w:r>
      </w:hyperlink>
    </w:p>
    <w:p w14:paraId="269A42F1" w14:textId="77777777" w:rsidR="00B873AF" w:rsidRDefault="00000000">
      <w:pPr>
        <w:pStyle w:val="References"/>
      </w:pPr>
      <w:r>
        <w:rPr>
          <w:rFonts w:hint="eastAsia"/>
        </w:rPr>
        <w:t>Knill PJ, Levine EG, Levine SK. Principles and practice of expressive arts therapy: Toward a therapeutic aesthetics. Jessica Kingsley Publishers; 2005.</w:t>
      </w:r>
      <w:r>
        <w:rPr>
          <w:rFonts w:eastAsia="宋体" w:hint="eastAsia"/>
          <w:lang w:val="en-US" w:eastAsia="zh-CN"/>
        </w:rPr>
        <w:t xml:space="preserve"> </w:t>
      </w:r>
    </w:p>
    <w:p w14:paraId="0706DDFD" w14:textId="77777777" w:rsidR="00B873AF" w:rsidRDefault="00000000">
      <w:pPr>
        <w:pStyle w:val="References"/>
      </w:pPr>
      <w:r>
        <w:rPr>
          <w:rFonts w:hint="eastAsia"/>
        </w:rPr>
        <w:t>Wang YK, Chen CY. Integrating Mobile Devices and Wearable Technology for Optimal Sleep Conditions. Applied Sciences. 2023 Sep 1;13(17):9921.</w:t>
      </w:r>
      <w:r>
        <w:rPr>
          <w:rFonts w:eastAsia="宋体" w:hint="eastAsia"/>
          <w:lang w:val="en-US" w:eastAsia="zh-CN"/>
        </w:rPr>
        <w:t xml:space="preserve"> </w:t>
      </w:r>
      <w:hyperlink r:id="rId32" w:history="1">
        <w:r w:rsidR="00B873AF">
          <w:rPr>
            <w:rStyle w:val="af2"/>
            <w:rFonts w:hint="eastAsia"/>
          </w:rPr>
          <w:t>https://doi.org/10.3390/app13179921.</w:t>
        </w:r>
      </w:hyperlink>
    </w:p>
    <w:p w14:paraId="2D7EDC7F" w14:textId="77777777" w:rsidR="00B873AF" w:rsidRDefault="00000000">
      <w:pPr>
        <w:pStyle w:val="References"/>
      </w:pPr>
      <w:r>
        <w:rPr>
          <w:rFonts w:hint="eastAsia"/>
        </w:rPr>
        <w:t xml:space="preserve">He C, Wang Q, Lou J, Liu Z, Ying F. Real-Time Physiological Signal Feedback for Anxiety Intervention Music System for Postpartum Women. </w:t>
      </w:r>
      <w:proofErr w:type="spellStart"/>
      <w:r>
        <w:rPr>
          <w:rFonts w:hint="eastAsia"/>
        </w:rPr>
        <w:t>InInternational</w:t>
      </w:r>
      <w:proofErr w:type="spellEnd"/>
      <w:r>
        <w:rPr>
          <w:rFonts w:hint="eastAsia"/>
        </w:rPr>
        <w:t xml:space="preserve"> </w:t>
      </w:r>
      <w:r>
        <w:rPr>
          <w:rFonts w:hint="eastAsia"/>
        </w:rPr>
        <w:t>Symposium on World Ecological Design 2024 (pp. 378-386). IOS Press.</w:t>
      </w:r>
      <w:r>
        <w:rPr>
          <w:rFonts w:eastAsia="宋体" w:hint="eastAsia"/>
          <w:lang w:val="en-US" w:eastAsia="zh-CN"/>
        </w:rPr>
        <w:t xml:space="preserve"> </w:t>
      </w:r>
      <w:hyperlink r:id="rId33" w:history="1">
        <w:r w:rsidR="00B873AF">
          <w:rPr>
            <w:rStyle w:val="af2"/>
            <w:rFonts w:eastAsia="宋体" w:hint="eastAsia"/>
            <w:lang w:val="en-US" w:eastAsia="zh-CN"/>
          </w:rPr>
          <w:t>https://doi.org/10.3233/FAIA240041</w:t>
        </w:r>
      </w:hyperlink>
    </w:p>
    <w:p w14:paraId="76DDC6B4" w14:textId="77777777" w:rsidR="00B873AF" w:rsidRDefault="00000000">
      <w:pPr>
        <w:pStyle w:val="References"/>
      </w:pPr>
      <w:r>
        <w:rPr>
          <w:rFonts w:hint="eastAsia"/>
        </w:rPr>
        <w:t>Iber C. The AASM manual for the scoring of sleep and associated events: rules, terminology, and technical specification. (No Title). 2007.</w:t>
      </w:r>
    </w:p>
    <w:p w14:paraId="351CEE0A" w14:textId="77777777" w:rsidR="00B873AF" w:rsidRDefault="00000000">
      <w:pPr>
        <w:pStyle w:val="References"/>
      </w:pPr>
      <w:r>
        <w:rPr>
          <w:rFonts w:hint="eastAsia"/>
        </w:rPr>
        <w:t xml:space="preserve">Shaffer F, Ginsberg JP. An overview of heart rate variability metrics and norms. Frontiers in public health. 2017 Sep </w:t>
      </w:r>
      <w:proofErr w:type="gramStart"/>
      <w:r>
        <w:rPr>
          <w:rFonts w:hint="eastAsia"/>
        </w:rPr>
        <w:t>28;5:258</w:t>
      </w:r>
      <w:proofErr w:type="gramEnd"/>
      <w:r>
        <w:rPr>
          <w:rFonts w:hint="eastAsia"/>
        </w:rPr>
        <w:t>.</w:t>
      </w:r>
      <w:r>
        <w:rPr>
          <w:rFonts w:eastAsia="宋体" w:hint="eastAsia"/>
          <w:lang w:val="en-US" w:eastAsia="zh-CN"/>
        </w:rPr>
        <w:t xml:space="preserve"> </w:t>
      </w:r>
      <w:r>
        <w:rPr>
          <w:rFonts w:eastAsia="宋体" w:hint="eastAsia"/>
          <w:lang w:val="en-US" w:eastAsia="zh-CN"/>
        </w:rPr>
        <w:br/>
      </w:r>
      <w:hyperlink r:id="rId34" w:history="1">
        <w:r w:rsidR="00B873AF">
          <w:rPr>
            <w:rStyle w:val="af2"/>
            <w:rFonts w:eastAsia="宋体" w:hint="eastAsia"/>
            <w:lang w:val="en-US" w:eastAsia="zh-CN"/>
          </w:rPr>
          <w:t>https://doi.org/10.3389/fpubh.2017.00258</w:t>
        </w:r>
      </w:hyperlink>
    </w:p>
    <w:p w14:paraId="31E4B8D8" w14:textId="77777777" w:rsidR="00B873AF" w:rsidRDefault="00000000">
      <w:pPr>
        <w:pStyle w:val="References"/>
      </w:pPr>
      <w:r>
        <w:rPr>
          <w:rFonts w:hint="eastAsia"/>
        </w:rPr>
        <w:t>Recio-Rodriguez JI, Fernandez-Crespo M, Sanchez-</w:t>
      </w:r>
      <w:proofErr w:type="spellStart"/>
      <w:r>
        <w:rPr>
          <w:rFonts w:hint="eastAsia"/>
        </w:rPr>
        <w:t>Aguadero</w:t>
      </w:r>
      <w:proofErr w:type="spellEnd"/>
      <w:r>
        <w:rPr>
          <w:rFonts w:hint="eastAsia"/>
        </w:rPr>
        <w:t xml:space="preserve"> N, Gonzalez-Sanchez J, Garcia-Yu IA, Alonso-Dominguez R, Chiu HY, Tsai PS, Lee HC, </w:t>
      </w:r>
      <w:proofErr w:type="spellStart"/>
      <w:r>
        <w:rPr>
          <w:rFonts w:hint="eastAsia"/>
        </w:rPr>
        <w:t>Rihuete</w:t>
      </w:r>
      <w:proofErr w:type="spellEnd"/>
      <w:r>
        <w:rPr>
          <w:rFonts w:hint="eastAsia"/>
        </w:rPr>
        <w:t xml:space="preserve">-Galve MI. Neurofeedback to enhance sleep quality and insomnia: a systematic review and meta-analysis of randomized clinical trials. Frontiers in Neuroscience. 2024 Nov </w:t>
      </w:r>
      <w:proofErr w:type="gramStart"/>
      <w:r>
        <w:rPr>
          <w:rFonts w:hint="eastAsia"/>
        </w:rPr>
        <w:t>6;18:1450163</w:t>
      </w:r>
      <w:proofErr w:type="gramEnd"/>
      <w:r>
        <w:rPr>
          <w:rFonts w:hint="eastAsia"/>
        </w:rPr>
        <w:t>.</w:t>
      </w:r>
      <w:r>
        <w:rPr>
          <w:rFonts w:eastAsia="宋体" w:hint="eastAsia"/>
          <w:lang w:val="en-US" w:eastAsia="zh-CN"/>
        </w:rPr>
        <w:t xml:space="preserve"> </w:t>
      </w:r>
      <w:hyperlink r:id="rId35" w:history="1">
        <w:r w:rsidR="00B873AF">
          <w:rPr>
            <w:rStyle w:val="af2"/>
            <w:rFonts w:eastAsia="宋体" w:hint="eastAsia"/>
            <w:lang w:val="en-US" w:eastAsia="zh-CN"/>
          </w:rPr>
          <w:t>https://doi.org/10.3389/fnins.2024.1450163</w:t>
        </w:r>
      </w:hyperlink>
    </w:p>
    <w:p w14:paraId="2E940DB0" w14:textId="77777777" w:rsidR="00B873AF" w:rsidRDefault="00000000">
      <w:pPr>
        <w:pStyle w:val="References"/>
      </w:pPr>
      <w:r>
        <w:rPr>
          <w:rFonts w:hint="eastAsia"/>
        </w:rPr>
        <w:t>Bonnet MH, Arand DL. Hyperarousal and insomnia: state of the science. Sleep medicine reviews. 2010 Feb 1;14(1):9-15.</w:t>
      </w:r>
      <w:r>
        <w:rPr>
          <w:rFonts w:eastAsia="宋体" w:hint="eastAsia"/>
          <w:lang w:val="en-US" w:eastAsia="zh-CN"/>
        </w:rPr>
        <w:t xml:space="preserve"> </w:t>
      </w:r>
      <w:hyperlink r:id="rId36" w:history="1">
        <w:r w:rsidR="00B873AF">
          <w:rPr>
            <w:rStyle w:val="af2"/>
            <w:rFonts w:eastAsia="宋体" w:hint="eastAsia"/>
            <w:lang w:val="en-US" w:eastAsia="zh-CN"/>
          </w:rPr>
          <w:t>https://doi.org/10.1016/j.smrv.2009.05.002</w:t>
        </w:r>
      </w:hyperlink>
    </w:p>
    <w:p w14:paraId="00DDDCE7" w14:textId="77777777" w:rsidR="00B873AF" w:rsidRDefault="00B873AF">
      <w:pPr>
        <w:pStyle w:val="References"/>
        <w:numPr>
          <w:ilvl w:val="255"/>
          <w:numId w:val="0"/>
        </w:numPr>
      </w:pPr>
    </w:p>
    <w:sectPr w:rsidR="00B873AF">
      <w:headerReference w:type="even" r:id="rId37"/>
      <w:headerReference w:type="first" r:id="rId38"/>
      <w:footerReference w:type="first" r:id="rId39"/>
      <w:footnotePr>
        <w:numFmt w:val="chicago"/>
      </w:footnotePr>
      <w:type w:val="continuous"/>
      <w:pgSz w:w="11906" w:h="16838"/>
      <w:pgMar w:top="1644" w:right="907" w:bottom="1531" w:left="907" w:header="680" w:footer="68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A79E" w14:textId="77777777" w:rsidR="00F91D73" w:rsidRDefault="00F91D73">
      <w:r>
        <w:separator/>
      </w:r>
    </w:p>
  </w:endnote>
  <w:endnote w:type="continuationSeparator" w:id="0">
    <w:p w14:paraId="50E8F664" w14:textId="77777777" w:rsidR="00F91D73" w:rsidRDefault="00F9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ingFang SC">
    <w:altName w:val="微软雅黑"/>
    <w:charset w:val="86"/>
    <w:family w:val="auto"/>
    <w:pitch w:val="default"/>
    <w:sig w:usb0="A00002FF" w:usb1="7ACFFDFB" w:usb2="00000017"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yriad Pro Cond">
    <w:altName w:val="Segoe UI"/>
    <w:charset w:val="00"/>
    <w:family w:val="swiss"/>
    <w:pitch w:val="default"/>
    <w:sig w:usb0="00000000" w:usb1="00000000" w:usb2="00000000" w:usb3="00000000" w:csb0="0000019F" w:csb1="00000000"/>
  </w:font>
  <w:font w:name="Miriam">
    <w:altName w:val="Thonburi"/>
    <w:charset w:val="B1"/>
    <w:family w:val="swiss"/>
    <w:pitch w:val="variable"/>
    <w:sig w:usb0="00000803" w:usb1="00000000" w:usb2="00000000" w:usb3="00000000" w:csb0="00000021" w:csb1="00000000"/>
  </w:font>
  <w:font w:name="Arial Bold">
    <w:panose1 w:val="020B07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default"/>
    <w:sig w:usb0="E0002AEF" w:usb1="C0007841"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30FD" w14:textId="77777777" w:rsidR="00B873AF" w:rsidRDefault="00000000">
    <w:pPr>
      <w:jc w:val="cente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D0E" w14:textId="77777777" w:rsidR="00B873AF" w:rsidRDefault="00000000">
    <w:pPr>
      <w:jc w:val="cente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314A" w14:textId="77777777" w:rsidR="00B873AF" w:rsidRDefault="00000000">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EF5F" w14:textId="77777777" w:rsidR="00B873AF" w:rsidRDefault="00000000">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5296" w14:textId="77777777" w:rsidR="00B873AF" w:rsidRDefault="00000000">
    <w:pPr>
      <w:tabs>
        <w:tab w:val="left" w:pos="4320"/>
        <w:tab w:val="center" w:pos="5046"/>
        <w:tab w:val="left" w:pos="5760"/>
        <w:tab w:val="left" w:pos="7200"/>
        <w:tab w:val="left" w:pos="7920"/>
        <w:tab w:val="left" w:pos="8156"/>
        <w:tab w:val="left" w:pos="8640"/>
        <w:tab w:val="left" w:pos="9360"/>
      </w:tabs>
      <w:rPr>
        <w:rFonts w:ascii="Arial" w:hAnsi="Arial" w:cs="Arial"/>
        <w:i/>
        <w:sz w:val="16"/>
        <w:szCs w:val="16"/>
      </w:rPr>
    </w:pPr>
    <w:r>
      <w:rPr>
        <w:noProof/>
      </w:rPr>
      <mc:AlternateContent>
        <mc:Choice Requires="wps">
          <w:drawing>
            <wp:anchor distT="0" distB="0" distL="114300" distR="114300" simplePos="0" relativeHeight="251663360" behindDoc="1" locked="0" layoutInCell="1" allowOverlap="0" wp14:anchorId="1BFCC586" wp14:editId="4B325C74">
              <wp:simplePos x="0" y="0"/>
              <wp:positionH relativeFrom="margin">
                <wp:posOffset>3796030</wp:posOffset>
              </wp:positionH>
              <wp:positionV relativeFrom="paragraph">
                <wp:posOffset>-140335</wp:posOffset>
              </wp:positionV>
              <wp:extent cx="2611755" cy="525780"/>
              <wp:effectExtent l="0" t="0" r="0" b="0"/>
              <wp:wrapTight wrapText="bothSides">
                <wp:wrapPolygon edited="0">
                  <wp:start x="0" y="0"/>
                  <wp:lineTo x="0" y="21130"/>
                  <wp:lineTo x="21427" y="21130"/>
                  <wp:lineTo x="21427" y="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525780"/>
                      </a:xfrm>
                      <a:prstGeom prst="rect">
                        <a:avLst/>
                      </a:prstGeom>
                      <a:solidFill>
                        <a:srgbClr val="FFFFFF"/>
                      </a:solidFill>
                      <a:ln>
                        <a:noFill/>
                      </a:ln>
                    </wps:spPr>
                    <wps:txbx>
                      <w:txbxContent>
                        <w:p w14:paraId="71468E4D" w14:textId="77777777" w:rsidR="00B873AF" w:rsidRDefault="00000000">
                          <w:pPr>
                            <w:jc w:val="right"/>
                            <w:rPr>
                              <w:rFonts w:ascii="Myriad Pro Cond" w:hAnsi="Myriad Pro Cond" w:cs="Arial"/>
                              <w:sz w:val="18"/>
                              <w:szCs w:val="18"/>
                            </w:rPr>
                          </w:pPr>
                          <w:r>
                            <w:rPr>
                              <w:rFonts w:ascii="Myriad Pro Cond" w:hAnsi="Myriad Pro Cond" w:cs="Arial"/>
                              <w:sz w:val="18"/>
                              <w:szCs w:val="18"/>
                            </w:rPr>
                            <w:t>EAI Endorsed Transactions on ......................................</w:t>
                          </w:r>
                        </w:p>
                        <w:p w14:paraId="3ACE15B0" w14:textId="77777777" w:rsidR="00B873AF" w:rsidRDefault="00000000">
                          <w:pPr>
                            <w:jc w:val="right"/>
                            <w:rPr>
                              <w:rFonts w:ascii="Myriad Pro Cond" w:hAnsi="Myriad Pro Cond" w:cs="Arial"/>
                              <w:sz w:val="18"/>
                              <w:szCs w:val="18"/>
                            </w:rPr>
                          </w:pPr>
                          <w:r>
                            <w:rPr>
                              <w:rFonts w:ascii="Myriad Pro Cond" w:hAnsi="Myriad Pro Cond" w:cs="Arial"/>
                              <w:sz w:val="18"/>
                              <w:szCs w:val="18"/>
                            </w:rPr>
                            <w:t>.................-.............. 2013 | Volume .... | Issue ....-.... | e...</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1BFCC586" id="_x0000_t202" coordsize="21600,21600" o:spt="202" path="m,l,21600r21600,l21600,xe">
              <v:stroke joinstyle="miter"/>
              <v:path gradientshapeok="t" o:connecttype="rect"/>
            </v:shapetype>
            <v:shape id="Text Box 1" o:spid="_x0000_s1026" type="#_x0000_t202" style="position:absolute;margin-left:298.9pt;margin-top:-11.05pt;width:205.65pt;height:41.4pt;z-index:-25165312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kU6QEAALoDAAAOAAAAZHJzL2Uyb0RvYy54bWysU9tu2zAMfR+wfxD0vjgJkLYw4hRdigwD&#10;ugvQ7QNkWbaF2aJGKrGzrx8lx+nQvQ3zg0CJ4hHP4fH2fuw7cTJIFlwhV4ulFMZpqKxrCvn92+Hd&#10;nRQUlKtUB84U8mxI3u/evtkOPjdraKGrDAoGcZQPvpBtCD7PMtKt6RUtwBvHyRqwV4G32GQVqoHR&#10;+y5bL5c32QBYeQRtiPj0cUrKXcKva6PDl7omE0RXSO4tpBXTWsY1221V3qDyrdWXNtQ/dNEr6/jR&#10;K9SjCkoc0f4F1VuNQFCHhYY+g7q22iQOzGa1fMXmuVXeJC4sDvmrTPT/YPXn07P/iiKM72HkASYS&#10;5J9A/yDhYN8q15gHRBhaoyp+eBUlywZP+aU0Sk05RZBy+AQVD1kdAySgscY+qsI8BaPzAM5X0c0Y&#10;hObD9c1qdbvZSKE5t1lvbu/SVDKVz9UeKXww0IsYFBJ5qAldnZ4oxG5UPl+JjxF0tjrYrksbbMp9&#10;h+Kk2ACH9CUCr651Ll52EMsmxHiSaEZmE8cwliMnI90SqjMTRpgMxT8ABy3gLykGNlMh6edRoZGi&#10;++hYtOi8OcA5KOdAOc2lhQxSTOE+TA49erRNy8jzWB5Y2INNnF+6uPTJBklSXMwcHfjnPt16+eV2&#10;vwEAAP//AwBQSwMEFAAGAAgAAAAhAPJaSL/gAAAACwEAAA8AAABkcnMvZG93bnJldi54bWxMj8FO&#10;wzAQRO9I/IO1SNxaO5FomxCnKkggjlCK1KMbL3GEvQ6xm4Z+Pe4Jbjva0cybaj05y0YcQudJQjYX&#10;wJAarztqJezen2YrYCEq0sp6Qgk/GGBdX19VqtT+RG84bmPLUgiFUkkwMfYl56Ex6FSY+x4p/T79&#10;4FRMcmi5HtQphTvLcyEW3KmOUoNRPT4abL62RyeheBk/jH3Ye00rk232z+fv191ZytubaXMPLOIU&#10;/8xwwU/oUCemgz+SDsxKuCuWCT1KmOV5BuziEKJI10HCQiyB1xX/v6H+BQAA//8DAFBLAQItABQA&#10;BgAIAAAAIQC2gziS/gAAAOEBAAATAAAAAAAAAAAAAAAAAAAAAABbQ29udGVudF9UeXBlc10ueG1s&#10;UEsBAi0AFAAGAAgAAAAhADj9If/WAAAAlAEAAAsAAAAAAAAAAAAAAAAALwEAAF9yZWxzLy5yZWxz&#10;UEsBAi0AFAAGAAgAAAAhAFn1KRTpAQAAugMAAA4AAAAAAAAAAAAAAAAALgIAAGRycy9lMm9Eb2Mu&#10;eG1sUEsBAi0AFAAGAAgAAAAhAPJaSL/gAAAACwEAAA8AAAAAAAAAAAAAAAAAQwQAAGRycy9kb3du&#10;cmV2LnhtbFBLBQYAAAAABAAEAPMAAABQBQAAAAA=&#10;" o:allowoverlap="f" stroked="f">
              <v:textbox style="mso-fit-shape-to-text:t" inset="0,0,0,0">
                <w:txbxContent>
                  <w:p w14:paraId="71468E4D" w14:textId="77777777" w:rsidR="00B873AF" w:rsidRDefault="00000000">
                    <w:pPr>
                      <w:jc w:val="right"/>
                      <w:rPr>
                        <w:rFonts w:ascii="Myriad Pro Cond" w:hAnsi="Myriad Pro Cond" w:cs="Arial"/>
                        <w:sz w:val="18"/>
                        <w:szCs w:val="18"/>
                      </w:rPr>
                    </w:pPr>
                    <w:r>
                      <w:rPr>
                        <w:rFonts w:ascii="Myriad Pro Cond" w:hAnsi="Myriad Pro Cond" w:cs="Arial"/>
                        <w:sz w:val="18"/>
                        <w:szCs w:val="18"/>
                      </w:rPr>
                      <w:t>EAI Endorsed Transactions on ......................................</w:t>
                    </w:r>
                  </w:p>
                  <w:p w14:paraId="3ACE15B0" w14:textId="77777777" w:rsidR="00B873AF" w:rsidRDefault="00000000">
                    <w:pPr>
                      <w:jc w:val="right"/>
                      <w:rPr>
                        <w:rFonts w:ascii="Myriad Pro Cond" w:hAnsi="Myriad Pro Cond" w:cs="Arial"/>
                        <w:sz w:val="18"/>
                        <w:szCs w:val="18"/>
                      </w:rPr>
                    </w:pPr>
                    <w:r>
                      <w:rPr>
                        <w:rFonts w:ascii="Myriad Pro Cond" w:hAnsi="Myriad Pro Cond" w:cs="Arial"/>
                        <w:sz w:val="18"/>
                        <w:szCs w:val="18"/>
                      </w:rPr>
                      <w:t>.................-.............. 2013 | Volume .... | Issue ....-.... | e...</w:t>
                    </w:r>
                  </w:p>
                </w:txbxContent>
              </v:textbox>
              <w10:wrap type="tight" anchorx="margin"/>
            </v:shape>
          </w:pict>
        </mc:Fallback>
      </mc:AlternateContent>
    </w:r>
    <w:r>
      <w:rPr>
        <w:noProof/>
      </w:rPr>
      <w:drawing>
        <wp:anchor distT="0" distB="0" distL="114300" distR="114300" simplePos="0" relativeHeight="251664384" behindDoc="1" locked="0" layoutInCell="1" allowOverlap="1" wp14:anchorId="66119F83" wp14:editId="4D214878">
          <wp:simplePos x="0" y="0"/>
          <wp:positionH relativeFrom="column">
            <wp:posOffset>-635</wp:posOffset>
          </wp:positionH>
          <wp:positionV relativeFrom="paragraph">
            <wp:posOffset>-226695</wp:posOffset>
          </wp:positionV>
          <wp:extent cx="1192530" cy="436245"/>
          <wp:effectExtent l="0" t="0" r="0" b="0"/>
          <wp:wrapTight wrapText="bothSides">
            <wp:wrapPolygon edited="0">
              <wp:start x="6556" y="3773"/>
              <wp:lineTo x="0" y="5659"/>
              <wp:lineTo x="0" y="17921"/>
              <wp:lineTo x="6556" y="20751"/>
              <wp:lineTo x="7936" y="20751"/>
              <wp:lineTo x="21393" y="17921"/>
              <wp:lineTo x="21393" y="5659"/>
              <wp:lineTo x="7936" y="3773"/>
              <wp:lineTo x="6556" y="3773"/>
            </wp:wrapPolygon>
          </wp:wrapTight>
          <wp:docPr id="1" name="Picture 3" descr="EAI-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AI-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436245"/>
                  </a:xfrm>
                  <a:prstGeom prst="rect">
                    <a:avLst/>
                  </a:prstGeom>
                  <a:noFill/>
                </pic:spPr>
              </pic:pic>
            </a:graphicData>
          </a:graphic>
        </wp:anchor>
      </w:drawing>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3</w:t>
    </w:r>
    <w:r>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0BE4" w14:textId="77777777" w:rsidR="00F91D73" w:rsidRDefault="00F91D73">
      <w:r>
        <w:separator/>
      </w:r>
    </w:p>
  </w:footnote>
  <w:footnote w:type="continuationSeparator" w:id="0">
    <w:p w14:paraId="3019C91C" w14:textId="77777777" w:rsidR="00F91D73" w:rsidRDefault="00F91D73">
      <w:r>
        <w:continuationSeparator/>
      </w:r>
    </w:p>
  </w:footnote>
  <w:footnote w:id="1">
    <w:p w14:paraId="10E6024E" w14:textId="51A9A961" w:rsidR="00B873AF" w:rsidRDefault="00000000">
      <w:pPr>
        <w:pStyle w:val="ad"/>
        <w:rPr>
          <w:szCs w:val="16"/>
        </w:rPr>
      </w:pPr>
      <w:r>
        <w:rPr>
          <w:rStyle w:val="af4"/>
          <w:szCs w:val="16"/>
        </w:rPr>
        <w:footnoteRef/>
      </w:r>
      <w:r>
        <w:rPr>
          <w:szCs w:val="16"/>
        </w:rPr>
        <w:t xml:space="preserve">Corresponding author. Email: </w:t>
      </w:r>
      <w:hyperlink r:id="rId1" w:history="1">
        <w:r w:rsidR="00F65DDE" w:rsidRPr="00F65DDE">
          <w:rPr>
            <w:rStyle w:val="af2"/>
            <w:szCs w:val="16"/>
            <w:lang w:val="en-US"/>
          </w:rPr>
          <w:t>prima</w:t>
        </w:r>
        <w:r w:rsidR="00F65DDE" w:rsidRPr="00F65DDE">
          <w:rPr>
            <w:rStyle w:val="af2"/>
            <w:szCs w:val="16"/>
          </w:rPr>
          <w:t>@</w:t>
        </w:r>
        <w:r w:rsidR="00F65DDE" w:rsidRPr="00F65DDE">
          <w:rPr>
            <w:rStyle w:val="af2"/>
            <w:rFonts w:eastAsiaTheme="minorEastAsia" w:hint="eastAsia"/>
            <w:szCs w:val="16"/>
            <w:lang w:val="en-US" w:eastAsia="zh-CN"/>
          </w:rPr>
          <w:t>gmail</w:t>
        </w:r>
        <w:r w:rsidR="00F65DDE" w:rsidRPr="00F65DDE">
          <w:rPr>
            <w:rStyle w:val="af2"/>
            <w:szCs w:val="16"/>
          </w:rPr>
          <w:t>.com</w:t>
        </w:r>
      </w:hyperlink>
    </w:p>
    <w:p w14:paraId="62F33497" w14:textId="77777777" w:rsidR="00B873AF" w:rsidRDefault="00B873AF">
      <w:pPr>
        <w:pStyle w:val="ad"/>
        <w:rPr>
          <w:szCs w:val="16"/>
        </w:rPr>
      </w:pPr>
    </w:p>
    <w:p w14:paraId="27355EEC" w14:textId="77777777" w:rsidR="00B873AF" w:rsidRDefault="00B873AF">
      <w:pPr>
        <w:pStyle w:val="ad"/>
        <w:rPr>
          <w:szCs w:val="16"/>
          <w:lang w:val="sk-S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7B0E" w14:textId="77777777" w:rsidR="00B873AF" w:rsidRDefault="00000000">
    <w:pPr>
      <w:pStyle w:val="ab"/>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2A818D3E" wp14:editId="47144755">
              <wp:simplePos x="0" y="0"/>
              <wp:positionH relativeFrom="column">
                <wp:posOffset>0</wp:posOffset>
              </wp:positionH>
              <wp:positionV relativeFrom="page">
                <wp:posOffset>700405</wp:posOffset>
              </wp:positionV>
              <wp:extent cx="6407785"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5" o:spid="_x0000_s1026" o:spt="32" type="#_x0000_t32" style="position:absolute;left:0pt;margin-left:0pt;margin-top:55.15pt;height:0pt;width:504.55pt;mso-position-vertical-relative:page;z-index:251659264;mso-width-relative:page;mso-height-relative:page;" filled="f" stroked="t" coordsize="21600,21600" o:gfxdata="UEsDBAoAAAAAAIdO4kAAAAAAAAAAAAAAAAAEAAAAZHJzL1BLAwQUAAAACACHTuJAUf2f2tMAAAAJ&#10;AQAADwAAAGRycy9kb3ducmV2LnhtbE2PwU7DMBBE70j8g7WVuFE7QEsJcSqBxLki7YXbJt7GUeN1&#10;FLtN+HtcCQmOOzOafVNsZ9eLC42h86whWyoQxI03HbcaDvuP+w2IEJEN9p5JwzcF2Ja3NwXmxk/8&#10;SZcqtiKVcMhRg41xyKUMjSWHYekH4uQd/egwpnNspRlxSuWulw9KraXDjtMHiwO9W2pO1dlpeH4y&#10;Xx7Xb6t6Ne32kY622uxmre8WmXoFEWmOf2G44id0KBNT7c9sgug1pCExqZl6BHG1lXrJQNS/kiwL&#10;+X9B+QNQSwMEFAAAAAgAh07iQPxdlNHVAQAAswMAAA4AAABkcnMvZTJvRG9jLnhtbK1TTW/bMAy9&#10;D9h/EHRf7ARrUhhxiiFBd+m2AO1+gCLLtjBZFEglTv79KOVjXXfpYT4Ikki+x/coLx+OgxMHg2TB&#10;13I6KaUwXkNjfVfLny+Pn+6loKh8oxx4U8uTIfmw+vhhOYbKzKAH1xgUDOKpGkMt+xhDVRSkezMo&#10;mkAwnoMt4KAiH7ErGlQjow+umJXlvBgBm4CgDRHfbs5BeUHE9wBC21ptNqD3g/HxjIrGqciSqLeB&#10;5Cp327ZGxx9tSyYKV0tWGvPKJLzfpbVYLVXVoQq91ZcW1HtaeKNpUNYz6Q1qo6ISe7T/QA1WIxC0&#10;caJhKM5CsiOsYlq+8ea5V8FkLWw1hZvp9P9g9ffDFoVtajmXwquBB/5lHyEzi7tkzxio4qy132IS&#10;qI/+OTyB/kXCw7pXvjM5+eUUuHaaKoq/StKBApPsxm/QcI5i/OzVscUhQbIL4phHcrqNxByj0Hw5&#10;/1wuFvd3UuhrrFDVtTAgxa8GBpE2taSIynZ9XIP3PHjAaaZRhyeKqS1VXQsSq4dH61yev/Ni5N5n&#10;i7LMFQTONima8gi73dqhOKj0hPKXRXLkdRrC3jdnFucvHiTZZwN30Jy2ePWGZ5nbuby79Fhen3P1&#10;n39t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Z/a0wAAAAkBAAAPAAAAAAAAAAEAIAAAACIA&#10;AABkcnMvZG93bnJldi54bWxQSwECFAAUAAAACACHTuJA/F2U0dUBAACzAwAADgAAAAAAAAABACAA&#10;AAAiAQAAZHJzL2Uyb0RvYy54bWxQSwUGAAAAAAYABgBZAQAAaQUAAAAA&#10;">
              <v:fill on="f" focussize="0,0"/>
              <v:stroke weight="1pt" color="#000000" joinstyle="round"/>
              <v:imagedata o:title=""/>
              <o:lock v:ext="edit" aspectratio="f"/>
            </v:shape>
          </w:pict>
        </mc:Fallback>
      </mc:AlternateContent>
    </w:r>
    <w:r>
      <w:rPr>
        <w:rFonts w:ascii="Arial" w:hAnsi="Arial" w:cs="Arial"/>
        <w:sz w:val="18"/>
        <w:szCs w:val="18"/>
      </w:rPr>
      <w:t xml:space="preserve">A. N. Author, B. N. </w:t>
    </w:r>
    <w:r>
      <w:rPr>
        <w:rStyle w:val="Oddheader0"/>
      </w:rPr>
      <w:t>Author</w:t>
    </w:r>
    <w:r>
      <w:rPr>
        <w:rFonts w:ascii="Arial" w:hAnsi="Arial" w:cs="Arial"/>
        <w:sz w:val="18"/>
        <w:szCs w:val="18"/>
      </w:rPr>
      <w:t xml:space="preserve"> and C. N.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B4D7" w14:textId="77777777" w:rsidR="00B873AF" w:rsidRDefault="00B873AF">
    <w:pPr>
      <w:jc w:val="right"/>
    </w:pPr>
  </w:p>
  <w:p w14:paraId="47AC8574" w14:textId="77777777" w:rsidR="00B873AF" w:rsidRDefault="00B873A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A912" w14:textId="486D7610" w:rsidR="00BA0475" w:rsidRPr="00BA0475" w:rsidRDefault="002811D9" w:rsidP="00BA0475">
    <w:pPr>
      <w:pStyle w:val="ab"/>
      <w:tabs>
        <w:tab w:val="clear" w:pos="4513"/>
        <w:tab w:val="clear" w:pos="9026"/>
        <w:tab w:val="left" w:pos="3831"/>
        <w:tab w:val="left" w:pos="7230"/>
      </w:tabs>
      <w:ind w:left="7200" w:hangingChars="3600" w:hanging="7200"/>
      <w:rPr>
        <w:rFonts w:ascii="Myriad Pro Cond" w:eastAsiaTheme="minorEastAsia" w:hAnsi="Myriad Pro Cond" w:cs="Miriam"/>
        <w:b/>
        <w:sz w:val="44"/>
        <w:szCs w:val="44"/>
        <w:lang w:eastAsia="zh-CN"/>
      </w:rPr>
    </w:pPr>
    <w:r>
      <w:rPr>
        <w:noProof/>
      </w:rPr>
      <w:drawing>
        <wp:anchor distT="0" distB="0" distL="114300" distR="114300" simplePos="0" relativeHeight="251668480" behindDoc="0" locked="0" layoutInCell="1" allowOverlap="1" wp14:anchorId="19417E2D" wp14:editId="3348CDF4">
          <wp:simplePos x="0" y="0"/>
          <wp:positionH relativeFrom="column">
            <wp:posOffset>5910434</wp:posOffset>
          </wp:positionH>
          <wp:positionV relativeFrom="paragraph">
            <wp:posOffset>4281</wp:posOffset>
          </wp:positionV>
          <wp:extent cx="437515" cy="334645"/>
          <wp:effectExtent l="0" t="0" r="635" b="8255"/>
          <wp:wrapNone/>
          <wp:docPr id="144522219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0475">
      <w:rPr>
        <w:noProof/>
      </w:rPr>
      <mc:AlternateContent>
        <mc:Choice Requires="wps">
          <w:drawing>
            <wp:anchor distT="0" distB="0" distL="114300" distR="114300" simplePos="0" relativeHeight="251667456" behindDoc="0" locked="0" layoutInCell="1" allowOverlap="1" wp14:anchorId="49578BD2" wp14:editId="03C5436F">
              <wp:simplePos x="0" y="0"/>
              <wp:positionH relativeFrom="margin">
                <wp:align>right</wp:align>
              </wp:positionH>
              <wp:positionV relativeFrom="paragraph">
                <wp:posOffset>354633</wp:posOffset>
              </wp:positionV>
              <wp:extent cx="6421487" cy="0"/>
              <wp:effectExtent l="0" t="0" r="0" b="0"/>
              <wp:wrapNone/>
              <wp:docPr id="364239813" name="直接连接符 5"/>
              <wp:cNvGraphicFramePr/>
              <a:graphic xmlns:a="http://schemas.openxmlformats.org/drawingml/2006/main">
                <a:graphicData uri="http://schemas.microsoft.com/office/word/2010/wordprocessingShape">
                  <wps:wsp>
                    <wps:cNvCnPr/>
                    <wps:spPr>
                      <a:xfrm>
                        <a:off x="0" y="0"/>
                        <a:ext cx="64214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CDD2" id="直接连接符 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4.45pt,27.9pt" to="960.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OHpAEAAJkDAAAOAAAAZHJzL2Uyb0RvYy54bWysU01v2zAMvQ/YfxB0X2QHRVsYcXposV2G&#10;rdjHD1BlKhYqiYKkxc6/H6UkTrENwzD0Qksi3yMfSW/uZmfZHmIy6HverhrOwCscjN/1/Pu39+9u&#10;OUtZ+kFa9NDzAyR+t337ZjOFDtY4oh0gMiLxqZtCz8ecQydEUiM4mVYYwJNTY3Qy0zXuxBDlROzO&#10;inXTXIsJ4xAiKkiJXh+OTr6t/FqDyp+1TpCZ7TnVlquN1T4VK7Yb2e2iDKNRpzLkf1ThpPGUdKF6&#10;kFmyH9H8RuWMiphQ55VCJ1Bro6BqIDVt84uar6MMULVQc1JY2pRej1Z92t/7x0htmELqUniMRcWs&#10;oytfqo/NtVmHpVkwZ6bo8fpq3V7d3nCmzj5xAYaY8gdAx8qh59b4okN2cv8xZUpGoeeQ8mw9m2h7&#10;1jdNnYi41FJP+WDhGPYFNDMDZW8rXV0TuLeR7SUNeHhuy0CJ3HqKLBBtrF1Azd9Bp9gCg7o6/wpc&#10;omtG9HkBOuMx/ilrns+l6mM8lf1Cazk+4XCok6kOmn9VdtrVsmAv7xV++aO2PwEAAP//AwBQSwME&#10;FAAGAAgAAAAhADBezLbZAAAABwEAAA8AAABkcnMvZG93bnJldi54bWxMj8FOwzAQRO9I/IO1SFwQ&#10;tUNVikKcKkLqB9By6HEbL3FUex1iNw1/jysOcNyZ0czbajN7JyYaYx9YQ7FQIIjbYHruNHzst48v&#10;IGJCNugCk4ZvirCpb28qLE248DtNu9SJXMKxRA02paGUMraWPMZFGIiz9xlGjymfYyfNiJdc7p18&#10;UupZeuw5L1gc6M1Se9qdvYb9YU3GPrhmwq/GcLc89du10vr+bm5eQSSa018YrvgZHerMdAxnNlE4&#10;DfmRpGG1yvxXVxXFEsTxV5F1Jf/z1z8AAAD//wMAUEsBAi0AFAAGAAgAAAAhALaDOJL+AAAA4QEA&#10;ABMAAAAAAAAAAAAAAAAAAAAAAFtDb250ZW50X1R5cGVzXS54bWxQSwECLQAUAAYACAAAACEAOP0h&#10;/9YAAACUAQAACwAAAAAAAAAAAAAAAAAvAQAAX3JlbHMvLnJlbHNQSwECLQAUAAYACAAAACEAeZsj&#10;h6QBAACZAwAADgAAAAAAAAAAAAAAAAAuAgAAZHJzL2Uyb0RvYy54bWxQSwECLQAUAAYACAAAACEA&#10;MF7MttkAAAAHAQAADwAAAAAAAAAAAAAAAAD+AwAAZHJzL2Rvd25yZXYueG1sUEsFBgAAAAAEAAQA&#10;8wAAAAQFAAAAAA==&#10;" strokecolor="black [3200]" strokeweight="1pt">
              <v:stroke joinstyle="miter"/>
              <w10:wrap anchorx="margin"/>
            </v:line>
          </w:pict>
        </mc:Fallback>
      </mc:AlternateContent>
    </w:r>
    <w:r w:rsidR="00BA0475">
      <w:rPr>
        <w:rFonts w:ascii="Myriad Pro Cond" w:eastAsiaTheme="minorEastAsia" w:hAnsi="Myriad Pro Cond" w:cs="Arial" w:hint="eastAsia"/>
        <w:b/>
        <w:sz w:val="44"/>
        <w:szCs w:val="44"/>
        <w:lang w:eastAsia="zh-CN"/>
      </w:rPr>
      <w:t xml:space="preserve">JAS </w:t>
    </w:r>
    <w:r w:rsidR="00BA0475">
      <w:rPr>
        <w:rFonts w:ascii="Myriad Pro Cond" w:hAnsi="Myriad Pro Cond" w:cs="Miriam"/>
        <w:b/>
        <w:sz w:val="44"/>
        <w:szCs w:val="44"/>
      </w:rPr>
      <w:t>Transactions</w:t>
    </w:r>
    <w:r w:rsidR="00BA0475">
      <w:rPr>
        <w:rFonts w:ascii="Myriad Pro Cond" w:eastAsiaTheme="minorEastAsia" w:hAnsi="Myriad Pro Cond" w:cs="Miriam" w:hint="eastAsia"/>
        <w:b/>
        <w:sz w:val="44"/>
        <w:szCs w:val="44"/>
        <w:lang w:eastAsia="zh-CN"/>
      </w:rPr>
      <w:t xml:space="preserve">                               </w:t>
    </w:r>
    <w:r>
      <w:rPr>
        <w:rFonts w:ascii="Myriad Pro Cond" w:eastAsiaTheme="minorEastAsia" w:hAnsi="Myriad Pro Cond" w:cs="Miriam" w:hint="eastAsia"/>
        <w:b/>
        <w:sz w:val="44"/>
        <w:szCs w:val="44"/>
        <w:lang w:eastAsia="zh-CN"/>
      </w:rPr>
      <w:t xml:space="preserve">  </w:t>
    </w:r>
    <w:r w:rsidR="00BA0475">
      <w:rPr>
        <w:color w:val="7F7F7F"/>
        <w:sz w:val="26"/>
        <w:szCs w:val="26"/>
      </w:rPr>
      <w:t>Research Article</w:t>
    </w:r>
    <w:r w:rsidR="00BA0475">
      <w:rPr>
        <w:rFonts w:ascii="Myriad Pro Cond" w:eastAsiaTheme="minorEastAsia" w:hAnsi="Myriad Pro Cond" w:cs="Miriam" w:hint="eastAsia"/>
        <w:b/>
        <w:sz w:val="44"/>
        <w:szCs w:val="44"/>
        <w:lang w:eastAsia="zh-C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6483" w14:textId="7FF76F46" w:rsidR="00F82CDF" w:rsidRPr="00F82CDF" w:rsidRDefault="00F82CDF" w:rsidP="00F82CDF">
    <w:pPr>
      <w:pStyle w:val="ab"/>
      <w:rPr>
        <w:rFonts w:eastAsiaTheme="minor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1AAE" w14:textId="52B25812" w:rsidR="00B873AF" w:rsidRDefault="006B303C">
    <w:r>
      <w:rPr>
        <w:noProof/>
      </w:rPr>
      <mc:AlternateContent>
        <mc:Choice Requires="wps">
          <w:drawing>
            <wp:anchor distT="0" distB="0" distL="114300" distR="114300" simplePos="0" relativeHeight="251670528" behindDoc="0" locked="0" layoutInCell="1" allowOverlap="1" wp14:anchorId="5461F458" wp14:editId="6D85D4A7">
              <wp:simplePos x="0" y="0"/>
              <wp:positionH relativeFrom="margin">
                <wp:align>right</wp:align>
              </wp:positionH>
              <wp:positionV relativeFrom="page">
                <wp:posOffset>617355</wp:posOffset>
              </wp:positionV>
              <wp:extent cx="6407785" cy="0"/>
              <wp:effectExtent l="0" t="0" r="0" b="0"/>
              <wp:wrapNone/>
              <wp:docPr id="3529676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ln>
                    </wps:spPr>
                    <wps:bodyPr/>
                  </wps:wsp>
                </a:graphicData>
              </a:graphic>
            </wp:anchor>
          </w:drawing>
        </mc:Choice>
        <mc:Fallback>
          <w:pict>
            <v:shapetype w14:anchorId="2DD0FE15" id="_x0000_t32" coordsize="21600,21600" o:spt="32" o:oned="t" path="m,l21600,21600e" filled="f">
              <v:path arrowok="t" fillok="f" o:connecttype="none"/>
              <o:lock v:ext="edit" shapetype="t"/>
            </v:shapetype>
            <v:shape id="AutoShape 5" o:spid="_x0000_s1026" type="#_x0000_t32" style="position:absolute;margin-left:453.35pt;margin-top:48.6pt;width:504.55pt;height:0;z-index:251670528;visibility:visible;mso-wrap-style:square;mso-wrap-distance-left:9pt;mso-wrap-distance-top:0;mso-wrap-distance-right:9pt;mso-wrap-distance-bottom:0;mso-position-horizontal:right;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5rAEAAD8DAAAOAAAAZHJzL2Uyb0RvYy54bWysUsFu2zAMvQ/oPwi6L3aCrSmMOD2kaC/d&#10;FqDtBzCybAuVRYFUYufvJ6lJWrS3YT4Ipig+vvfI1e00WHHQxAZdLeezUgrtFDbGdbV8eb7/fiMF&#10;B3ANWHS6lkfN8nZ99W01+kovsEfbaBIRxHE1+lr2IfiqKFj1egCeodcuJlukAUIMqSsagjGiD7ZY&#10;lOV1MSI1nlBp5nh795aU64zftlqFP23LOghby8gt5JPyuUtnsV5B1RH43qgTDfgHFgMYF5teoO4g&#10;gNiT+QI1GEXI2IaZwqHAtjVKZw1Rzbz8pOapB6+zlmgO+4tN/P9g1e/Dxm0pUVeTe/KPqF5ZONz0&#10;4DqdCTwffRzcPFlVjJ6rS0kK2G9J7MZf2MQ3sA+YXZhaGhJk1CembPbxYraeglDx8vpHuVze/JRC&#10;nXMFVOdCTxweNA4i/dSSA4Hp+rBB5+JIkea5DRweOSRaUJ0LUleH98baPFnrxBi5L5ZlmSsYrWlS&#10;Nr1j6nYbS+IAaTnyl0XGzMdnhHvXvHWx7uRBkp12jKsdNsctnb2JU8p0ThuV1uBjnKvf9379FwAA&#10;//8DAFBLAwQUAAYACAAAACEAyqIK2NkAAAAHAQAADwAAAGRycy9kb3ducmV2LnhtbEyPzU7DMBCE&#10;70i8g7VI3Kjdiv6lcSpA4lyRcuG2ibdx1HgdxW4T3h5XHOC4M6OZb/P95DpxpSG0njXMZwoEce1N&#10;y42Gz+P70wZEiMgGO8+k4ZsC7Iv7uxwz40f+oGsZG5FKOGSowcbYZ1KG2pLDMPM9cfJOfnAY0zk0&#10;0gw4pnLXyYVSK+mw5bRgsac3S/W5vDgN62fz5XH1uqyW4+EY6WTLzWHS+vFhetmBiDTFvzDc8BM6&#10;FImp8hc2QXQa0iNRw3a9AHFzldrOQVS/iixy+Z+/+AEAAP//AwBQSwECLQAUAAYACAAAACEAtoM4&#10;kv4AAADhAQAAEwAAAAAAAAAAAAAAAAAAAAAAW0NvbnRlbnRfVHlwZXNdLnhtbFBLAQItABQABgAI&#10;AAAAIQA4/SH/1gAAAJQBAAALAAAAAAAAAAAAAAAAAC8BAABfcmVscy8ucmVsc1BLAQItABQABgAI&#10;AAAAIQA+QJU5rAEAAD8DAAAOAAAAAAAAAAAAAAAAAC4CAABkcnMvZTJvRG9jLnhtbFBLAQItABQA&#10;BgAIAAAAIQDKogrY2QAAAAcBAAAPAAAAAAAAAAAAAAAAAAYEAABkcnMvZG93bnJldi54bWxQSwUG&#10;AAAAAAQABADzAAAADAUAAAAA&#10;" strokeweight="1pt">
              <w10:wrap anchorx="margin" anchory="page"/>
            </v:shape>
          </w:pict>
        </mc:Fallback>
      </mc:AlternateContent>
    </w:r>
    <w:r w:rsidR="00000000">
      <w:t>1</w:t>
    </w:r>
    <w:r w:rsidR="00000000">
      <w:rPr>
        <w:vertAlign w:val="superscript"/>
      </w:rPr>
      <w:t>st</w:t>
    </w:r>
    <w:r w:rsidR="00000000">
      <w:t xml:space="preserve"> author’s surname • 2</w:t>
    </w:r>
    <w:r w:rsidR="00000000">
      <w:rPr>
        <w:vertAlign w:val="superscript"/>
      </w:rPr>
      <w:t>nd</w:t>
    </w:r>
    <w:r w:rsidR="00000000">
      <w:t xml:space="preserve"> author’s surname • 3</w:t>
    </w:r>
    <w:r w:rsidR="00000000">
      <w:rPr>
        <w:vertAlign w:val="superscript"/>
      </w:rPr>
      <w:t>rd</w:t>
    </w:r>
    <w:r w:rsidR="00000000">
      <w:t xml:space="preserve"> author’s surname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E855" w14:textId="77777777" w:rsidR="00B873AF" w:rsidRDefault="00B873AF">
    <w:pPr>
      <w:jc w:val="right"/>
      <w:rPr>
        <w:i/>
      </w:rPr>
    </w:pPr>
  </w:p>
  <w:p w14:paraId="7E4FD2F3" w14:textId="77777777" w:rsidR="00B873AF" w:rsidRDefault="00000000">
    <w:pPr>
      <w:pStyle w:val="EvenHeader"/>
    </w:pPr>
    <w:r>
      <w:rPr>
        <w:noProof/>
      </w:rPr>
      <mc:AlternateContent>
        <mc:Choice Requires="wps">
          <w:drawing>
            <wp:anchor distT="0" distB="0" distL="114300" distR="114300" simplePos="0" relativeHeight="251660288" behindDoc="0" locked="0" layoutInCell="1" allowOverlap="1" wp14:anchorId="7AD25A80" wp14:editId="72E6D16A">
              <wp:simplePos x="0" y="0"/>
              <wp:positionH relativeFrom="column">
                <wp:posOffset>0</wp:posOffset>
              </wp:positionH>
              <wp:positionV relativeFrom="page">
                <wp:posOffset>700405</wp:posOffset>
              </wp:positionV>
              <wp:extent cx="6407785"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0pt;margin-top:55.15pt;height:0pt;width:504.55pt;mso-position-vertical-relative:page;z-index:251660288;mso-width-relative:page;mso-height-relative:page;" filled="f" stroked="t" coordsize="21600,21600" o:gfxdata="UEsDBAoAAAAAAIdO4kAAAAAAAAAAAAAAAAAEAAAAZHJzL1BLAwQUAAAACACHTuJAUf2f2tMAAAAJ&#10;AQAADwAAAGRycy9kb3ducmV2LnhtbE2PwU7DMBBE70j8g7WVuFE7QEsJcSqBxLki7YXbJt7GUeN1&#10;FLtN+HtcCQmOOzOafVNsZ9eLC42h86whWyoQxI03HbcaDvuP+w2IEJEN9p5JwzcF2Ja3NwXmxk/8&#10;SZcqtiKVcMhRg41xyKUMjSWHYekH4uQd/egwpnNspRlxSuWulw9KraXDjtMHiwO9W2pO1dlpeH4y&#10;Xx7Xb6t6Ne32kY622uxmre8WmXoFEWmOf2G44id0KBNT7c9sgug1pCExqZl6BHG1lXrJQNS/kiwL&#10;+X9B+QNQSwMEFAAAAAgAh07iQMBo2fPVAQAAswMAAA4AAABkcnMvZTJvRG9jLnhtbK1TTW/bMAy9&#10;D9h/EHRf7ARbUhhxiiFBd+m2AO1+gCLLtjBZFEglTv79KOWjXXfpYT4Ikki+x/coL++PgxMHg2TB&#10;13I6KaUwXkNjfVfLX88Pn+6koKh8oxx4U8uTIXm/+vhhOYbKzKAH1xgUDOKpGkMt+xhDVRSkezMo&#10;mkAwnoMt4KAiH7ErGlQjow+umJXlvBgBm4CgDRHfbs5BeUHE9wBC21ptNqD3g/HxjIrGqciSqLeB&#10;5Cp327ZGx59tSyYKV0tWGvPKJLzfpbVYLVXVoQq91ZcW1HtaeKNpUNYz6Q1qo6ISe7T/QA1WIxC0&#10;caJhKM5CsiOsYlq+8eapV8FkLWw1hZvp9P9g9Y/DFoVtajmTwquBB/51HyEzi3myZwxUcdbabzEJ&#10;1Ef/FB5B/ybhYd0r35mc/HwKXDtNFcVfJelAgUl243doOEcxfvbq2OKQINkFccwjOd1GYo5RaL6c&#10;fy4Xi7svUuhrrFDVtTAgxW8GBpE2taSIynZ9XIP3PHjAaaZRh0eKqS1VXQsSq4cH61yev/Ni5N5n&#10;i7LMFQTONima8gi73dqhOKj0hPKXRXLkdRrC3jdnFucvHiTZZwN30Jy2ePWGZ5nbuby79Fhen3P1&#10;y7+2+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Z/a0wAAAAkBAAAPAAAAAAAAAAEAIAAAACIA&#10;AABkcnMvZG93bnJldi54bWxQSwECFAAUAAAACACHTuJAwGjZ89UBAACzAwAADgAAAAAAAAABACAA&#10;AAAiAQAAZHJzL2Uyb0RvYy54bWxQSwUGAAAAAAYABgBZAQAAaQUAAAAA&#10;">
              <v:fill on="f" focussize="0,0"/>
              <v:stroke weight="1pt" color="#000000" joinstyle="round"/>
              <v:imagedata o:title=""/>
              <o:lock v:ext="edit" aspectratio="f"/>
            </v:shape>
          </w:pict>
        </mc:Fallback>
      </mc:AlternateContent>
    </w:r>
    <w:r>
      <w:t>This is the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BF1A0"/>
    <w:multiLevelType w:val="singleLevel"/>
    <w:tmpl w:val="FFFBF1A0"/>
    <w:lvl w:ilvl="0">
      <w:start w:val="1"/>
      <w:numFmt w:val="lowerRoman"/>
      <w:lvlText w:val="(%1)"/>
      <w:lvlJc w:val="left"/>
      <w:pPr>
        <w:tabs>
          <w:tab w:val="left" w:pos="420"/>
        </w:tabs>
        <w:ind w:left="425" w:hanging="425"/>
      </w:pPr>
      <w:rPr>
        <w:rFonts w:hint="default"/>
      </w:rPr>
    </w:lvl>
  </w:abstractNum>
  <w:abstractNum w:abstractNumId="1" w15:restartNumberingAfterBreak="0">
    <w:nsid w:val="5A3F7E27"/>
    <w:multiLevelType w:val="multilevel"/>
    <w:tmpl w:val="5A3F7E27"/>
    <w:lvl w:ilvl="0">
      <w:start w:val="1"/>
      <w:numFmt w:val="bullet"/>
      <w:pStyle w:val="Bulletedlist"/>
      <w:lvlText w:val=""/>
      <w:lvlJc w:val="left"/>
      <w:pPr>
        <w:ind w:left="1307" w:hanging="360"/>
      </w:pPr>
      <w:rPr>
        <w:rFonts w:ascii="Symbol" w:hAnsi="Symbol" w:hint="default"/>
      </w:rPr>
    </w:lvl>
    <w:lvl w:ilvl="1">
      <w:start w:val="1"/>
      <w:numFmt w:val="lowerLetter"/>
      <w:lvlText w:val="%2."/>
      <w:lvlJc w:val="left"/>
      <w:pPr>
        <w:ind w:left="2027" w:hanging="360"/>
      </w:pPr>
    </w:lvl>
    <w:lvl w:ilvl="2">
      <w:start w:val="1"/>
      <w:numFmt w:val="lowerRoman"/>
      <w:lvlText w:val="%3."/>
      <w:lvlJc w:val="right"/>
      <w:pPr>
        <w:ind w:left="2747" w:hanging="180"/>
      </w:pPr>
    </w:lvl>
    <w:lvl w:ilvl="3">
      <w:start w:val="1"/>
      <w:numFmt w:val="decimal"/>
      <w:lvlText w:val="%4."/>
      <w:lvlJc w:val="left"/>
      <w:pPr>
        <w:ind w:left="3467" w:hanging="360"/>
      </w:pPr>
    </w:lvl>
    <w:lvl w:ilvl="4">
      <w:start w:val="1"/>
      <w:numFmt w:val="lowerLetter"/>
      <w:lvlText w:val="%5."/>
      <w:lvlJc w:val="left"/>
      <w:pPr>
        <w:ind w:left="4187" w:hanging="360"/>
      </w:pPr>
    </w:lvl>
    <w:lvl w:ilvl="5">
      <w:start w:val="1"/>
      <w:numFmt w:val="lowerRoman"/>
      <w:lvlText w:val="%6."/>
      <w:lvlJc w:val="right"/>
      <w:pPr>
        <w:ind w:left="4907" w:hanging="180"/>
      </w:pPr>
    </w:lvl>
    <w:lvl w:ilvl="6">
      <w:start w:val="1"/>
      <w:numFmt w:val="decimal"/>
      <w:lvlText w:val="%7."/>
      <w:lvlJc w:val="left"/>
      <w:pPr>
        <w:ind w:left="5627" w:hanging="360"/>
      </w:pPr>
    </w:lvl>
    <w:lvl w:ilvl="7">
      <w:start w:val="1"/>
      <w:numFmt w:val="lowerLetter"/>
      <w:lvlText w:val="%8."/>
      <w:lvlJc w:val="left"/>
      <w:pPr>
        <w:ind w:left="6347" w:hanging="360"/>
      </w:pPr>
    </w:lvl>
    <w:lvl w:ilvl="8">
      <w:start w:val="1"/>
      <w:numFmt w:val="lowerRoman"/>
      <w:lvlText w:val="%9."/>
      <w:lvlJc w:val="right"/>
      <w:pPr>
        <w:ind w:left="7067" w:hanging="180"/>
      </w:pPr>
    </w:lvl>
  </w:abstractNum>
  <w:abstractNum w:abstractNumId="2" w15:restartNumberingAfterBreak="0">
    <w:nsid w:val="5E6A5D6A"/>
    <w:multiLevelType w:val="multilevel"/>
    <w:tmpl w:val="5E6A5D6A"/>
    <w:lvl w:ilvl="0">
      <w:start w:val="1"/>
      <w:numFmt w:val="lowerRoman"/>
      <w:pStyle w:val="Listnumbered"/>
      <w:lvlText w:val="(%1)"/>
      <w:lvlJc w:val="right"/>
      <w:pPr>
        <w:ind w:left="1307" w:hanging="360"/>
      </w:pPr>
      <w:rPr>
        <w:rFonts w:hint="default"/>
      </w:rPr>
    </w:lvl>
    <w:lvl w:ilvl="1">
      <w:start w:val="1"/>
      <w:numFmt w:val="lowerLetter"/>
      <w:lvlText w:val="%2."/>
      <w:lvlJc w:val="left"/>
      <w:pPr>
        <w:ind w:left="2027" w:hanging="360"/>
      </w:pPr>
    </w:lvl>
    <w:lvl w:ilvl="2">
      <w:start w:val="1"/>
      <w:numFmt w:val="lowerRoman"/>
      <w:lvlText w:val="%3."/>
      <w:lvlJc w:val="right"/>
      <w:pPr>
        <w:ind w:left="2747" w:hanging="180"/>
      </w:pPr>
    </w:lvl>
    <w:lvl w:ilvl="3">
      <w:start w:val="1"/>
      <w:numFmt w:val="decimal"/>
      <w:lvlText w:val="%4."/>
      <w:lvlJc w:val="left"/>
      <w:pPr>
        <w:ind w:left="3467" w:hanging="360"/>
      </w:pPr>
    </w:lvl>
    <w:lvl w:ilvl="4">
      <w:start w:val="1"/>
      <w:numFmt w:val="lowerLetter"/>
      <w:lvlText w:val="%5."/>
      <w:lvlJc w:val="left"/>
      <w:pPr>
        <w:ind w:left="4187" w:hanging="360"/>
      </w:pPr>
    </w:lvl>
    <w:lvl w:ilvl="5">
      <w:start w:val="1"/>
      <w:numFmt w:val="lowerRoman"/>
      <w:lvlText w:val="%6."/>
      <w:lvlJc w:val="right"/>
      <w:pPr>
        <w:ind w:left="4907" w:hanging="180"/>
      </w:pPr>
    </w:lvl>
    <w:lvl w:ilvl="6">
      <w:start w:val="1"/>
      <w:numFmt w:val="decimal"/>
      <w:lvlText w:val="%7."/>
      <w:lvlJc w:val="left"/>
      <w:pPr>
        <w:ind w:left="5627" w:hanging="360"/>
      </w:pPr>
    </w:lvl>
    <w:lvl w:ilvl="7">
      <w:start w:val="1"/>
      <w:numFmt w:val="lowerLetter"/>
      <w:lvlText w:val="%8."/>
      <w:lvlJc w:val="left"/>
      <w:pPr>
        <w:ind w:left="6347" w:hanging="360"/>
      </w:pPr>
    </w:lvl>
    <w:lvl w:ilvl="8">
      <w:start w:val="1"/>
      <w:numFmt w:val="lowerRoman"/>
      <w:lvlText w:val="%9."/>
      <w:lvlJc w:val="right"/>
      <w:pPr>
        <w:ind w:left="7067" w:hanging="180"/>
      </w:pPr>
    </w:lvl>
  </w:abstractNum>
  <w:abstractNum w:abstractNumId="3" w15:restartNumberingAfterBreak="0">
    <w:nsid w:val="6F892BF3"/>
    <w:multiLevelType w:val="multilevel"/>
    <w:tmpl w:val="6F892BF3"/>
    <w:lvl w:ilvl="0">
      <w:start w:val="1"/>
      <w:numFmt w:val="decimal"/>
      <w:pStyle w:val="References"/>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E658A0"/>
    <w:multiLevelType w:val="multilevel"/>
    <w:tmpl w:val="78E658A0"/>
    <w:lvl w:ilvl="0">
      <w:numFmt w:val="bullet"/>
      <w:pStyle w:val="Style2"/>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57207345">
    <w:abstractNumId w:val="4"/>
  </w:num>
  <w:num w:numId="2" w16cid:durableId="1879776556">
    <w:abstractNumId w:val="3"/>
  </w:num>
  <w:num w:numId="3" w16cid:durableId="1558079451">
    <w:abstractNumId w:val="2"/>
  </w:num>
  <w:num w:numId="4" w16cid:durableId="1570843291">
    <w:abstractNumId w:val="1"/>
  </w:num>
  <w:num w:numId="5" w16cid:durableId="107540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hyphenationZone w:val="425"/>
  <w:evenAndOddHeaders/>
  <w:drawingGridHorizontalSpacing w:val="100"/>
  <w:noPunctuationKerning/>
  <w:characterSpacingControl w:val="doNotCompress"/>
  <w:hdrShapeDefaults>
    <o:shapedefaults v:ext="edit" spidmax="2050"/>
  </w:hdrShapeDefaults>
  <w:footnotePr>
    <w:pos w:val="beneathText"/>
    <w:numFmt w:val="chicago"/>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TIxMDY1NTU0MzVV0lEKTi0uzszPAykwqgUAAjVONCwAAAA="/>
  </w:docVars>
  <w:rsids>
    <w:rsidRoot w:val="0019785C"/>
    <w:rsid w:val="BFE4D352"/>
    <w:rsid w:val="E6E96C5F"/>
    <w:rsid w:val="ED16FA64"/>
    <w:rsid w:val="F5F7E0B1"/>
    <w:rsid w:val="F78B3FE5"/>
    <w:rsid w:val="FDFD5BA5"/>
    <w:rsid w:val="FFF3C6C8"/>
    <w:rsid w:val="00000EFF"/>
    <w:rsid w:val="00002599"/>
    <w:rsid w:val="00027718"/>
    <w:rsid w:val="00034F96"/>
    <w:rsid w:val="0003789F"/>
    <w:rsid w:val="00062258"/>
    <w:rsid w:val="00083018"/>
    <w:rsid w:val="000910EF"/>
    <w:rsid w:val="000A6086"/>
    <w:rsid w:val="000B2108"/>
    <w:rsid w:val="000C745B"/>
    <w:rsid w:val="000D14AE"/>
    <w:rsid w:val="000E25E0"/>
    <w:rsid w:val="000E26B2"/>
    <w:rsid w:val="000E4761"/>
    <w:rsid w:val="000E7320"/>
    <w:rsid w:val="000F211F"/>
    <w:rsid w:val="00107CF4"/>
    <w:rsid w:val="001121ED"/>
    <w:rsid w:val="00113CC0"/>
    <w:rsid w:val="00143032"/>
    <w:rsid w:val="00156524"/>
    <w:rsid w:val="001958B1"/>
    <w:rsid w:val="0019785C"/>
    <w:rsid w:val="001C59B9"/>
    <w:rsid w:val="001D58E9"/>
    <w:rsid w:val="001E2781"/>
    <w:rsid w:val="00211888"/>
    <w:rsid w:val="00212372"/>
    <w:rsid w:val="002252C6"/>
    <w:rsid w:val="00231F96"/>
    <w:rsid w:val="0023793D"/>
    <w:rsid w:val="002402EB"/>
    <w:rsid w:val="00241270"/>
    <w:rsid w:val="002425C0"/>
    <w:rsid w:val="00251F41"/>
    <w:rsid w:val="002811D9"/>
    <w:rsid w:val="00284ADD"/>
    <w:rsid w:val="00287AE0"/>
    <w:rsid w:val="002A67D0"/>
    <w:rsid w:val="002B1E9B"/>
    <w:rsid w:val="002C05FA"/>
    <w:rsid w:val="002D4643"/>
    <w:rsid w:val="002E7277"/>
    <w:rsid w:val="002F285A"/>
    <w:rsid w:val="002F5CE7"/>
    <w:rsid w:val="003112B8"/>
    <w:rsid w:val="0031213F"/>
    <w:rsid w:val="003152F6"/>
    <w:rsid w:val="00321123"/>
    <w:rsid w:val="00335BD9"/>
    <w:rsid w:val="0034262B"/>
    <w:rsid w:val="003516D4"/>
    <w:rsid w:val="00367545"/>
    <w:rsid w:val="0038032C"/>
    <w:rsid w:val="003A2A40"/>
    <w:rsid w:val="003C0485"/>
    <w:rsid w:val="003C4E0C"/>
    <w:rsid w:val="003D1561"/>
    <w:rsid w:val="00417071"/>
    <w:rsid w:val="00430E20"/>
    <w:rsid w:val="00434B70"/>
    <w:rsid w:val="00440313"/>
    <w:rsid w:val="004662BC"/>
    <w:rsid w:val="00470369"/>
    <w:rsid w:val="00484D2A"/>
    <w:rsid w:val="00487FBA"/>
    <w:rsid w:val="0049356C"/>
    <w:rsid w:val="004A19D2"/>
    <w:rsid w:val="004B1C71"/>
    <w:rsid w:val="004F1D55"/>
    <w:rsid w:val="004F726E"/>
    <w:rsid w:val="0051273F"/>
    <w:rsid w:val="0052197F"/>
    <w:rsid w:val="00523AB3"/>
    <w:rsid w:val="00527CE9"/>
    <w:rsid w:val="00534971"/>
    <w:rsid w:val="00534D9C"/>
    <w:rsid w:val="00535AB3"/>
    <w:rsid w:val="005378CA"/>
    <w:rsid w:val="005A667A"/>
    <w:rsid w:val="005B2854"/>
    <w:rsid w:val="005B2B58"/>
    <w:rsid w:val="005B7FCC"/>
    <w:rsid w:val="005D56F9"/>
    <w:rsid w:val="005F0300"/>
    <w:rsid w:val="00601EAA"/>
    <w:rsid w:val="006145BB"/>
    <w:rsid w:val="0065142B"/>
    <w:rsid w:val="006716FA"/>
    <w:rsid w:val="00681911"/>
    <w:rsid w:val="006B303C"/>
    <w:rsid w:val="006C0C04"/>
    <w:rsid w:val="006C5198"/>
    <w:rsid w:val="006D5FC8"/>
    <w:rsid w:val="006F2FF6"/>
    <w:rsid w:val="00725EE0"/>
    <w:rsid w:val="00727574"/>
    <w:rsid w:val="0073562A"/>
    <w:rsid w:val="00775A8E"/>
    <w:rsid w:val="007A4F9A"/>
    <w:rsid w:val="007A7FF9"/>
    <w:rsid w:val="007B341D"/>
    <w:rsid w:val="007C7093"/>
    <w:rsid w:val="007D3DDE"/>
    <w:rsid w:val="007E739D"/>
    <w:rsid w:val="00824738"/>
    <w:rsid w:val="00825EDE"/>
    <w:rsid w:val="00834258"/>
    <w:rsid w:val="00850717"/>
    <w:rsid w:val="00855EF1"/>
    <w:rsid w:val="00866181"/>
    <w:rsid w:val="0088588E"/>
    <w:rsid w:val="008C3874"/>
    <w:rsid w:val="008E30D7"/>
    <w:rsid w:val="008F0AC1"/>
    <w:rsid w:val="00911E9B"/>
    <w:rsid w:val="0092068F"/>
    <w:rsid w:val="00935BEB"/>
    <w:rsid w:val="0097687A"/>
    <w:rsid w:val="00985634"/>
    <w:rsid w:val="00996752"/>
    <w:rsid w:val="0099690F"/>
    <w:rsid w:val="009A5F27"/>
    <w:rsid w:val="009B697B"/>
    <w:rsid w:val="009C69CC"/>
    <w:rsid w:val="009F2E62"/>
    <w:rsid w:val="00A00E1F"/>
    <w:rsid w:val="00A2389D"/>
    <w:rsid w:val="00A26B36"/>
    <w:rsid w:val="00A32815"/>
    <w:rsid w:val="00A5302F"/>
    <w:rsid w:val="00A77830"/>
    <w:rsid w:val="00A87177"/>
    <w:rsid w:val="00A95931"/>
    <w:rsid w:val="00AB03AF"/>
    <w:rsid w:val="00AB31F2"/>
    <w:rsid w:val="00AB65F6"/>
    <w:rsid w:val="00AC74DA"/>
    <w:rsid w:val="00AD1725"/>
    <w:rsid w:val="00AD6296"/>
    <w:rsid w:val="00AE6014"/>
    <w:rsid w:val="00B1699F"/>
    <w:rsid w:val="00B22118"/>
    <w:rsid w:val="00B26CDD"/>
    <w:rsid w:val="00B300D6"/>
    <w:rsid w:val="00B33814"/>
    <w:rsid w:val="00B576FA"/>
    <w:rsid w:val="00B755E9"/>
    <w:rsid w:val="00B873AF"/>
    <w:rsid w:val="00B901BD"/>
    <w:rsid w:val="00BA0475"/>
    <w:rsid w:val="00BC700F"/>
    <w:rsid w:val="00BF72B2"/>
    <w:rsid w:val="00C31866"/>
    <w:rsid w:val="00C33A72"/>
    <w:rsid w:val="00C55CAC"/>
    <w:rsid w:val="00C7269B"/>
    <w:rsid w:val="00C80C6B"/>
    <w:rsid w:val="00C85A73"/>
    <w:rsid w:val="00C97EBD"/>
    <w:rsid w:val="00CB13DB"/>
    <w:rsid w:val="00CB28BC"/>
    <w:rsid w:val="00CB4FE0"/>
    <w:rsid w:val="00CB6E07"/>
    <w:rsid w:val="00CC17E0"/>
    <w:rsid w:val="00CC3F30"/>
    <w:rsid w:val="00CC62C3"/>
    <w:rsid w:val="00CC6D72"/>
    <w:rsid w:val="00CE121F"/>
    <w:rsid w:val="00CF5AFB"/>
    <w:rsid w:val="00D13814"/>
    <w:rsid w:val="00D404F6"/>
    <w:rsid w:val="00D538C9"/>
    <w:rsid w:val="00D63196"/>
    <w:rsid w:val="00D70A25"/>
    <w:rsid w:val="00D76C07"/>
    <w:rsid w:val="00DA07DF"/>
    <w:rsid w:val="00DD09C9"/>
    <w:rsid w:val="00DF41D8"/>
    <w:rsid w:val="00E0286F"/>
    <w:rsid w:val="00E03D03"/>
    <w:rsid w:val="00E1083A"/>
    <w:rsid w:val="00E33E44"/>
    <w:rsid w:val="00E541E1"/>
    <w:rsid w:val="00E61AAF"/>
    <w:rsid w:val="00E63920"/>
    <w:rsid w:val="00E700F2"/>
    <w:rsid w:val="00E96322"/>
    <w:rsid w:val="00EA3722"/>
    <w:rsid w:val="00EB55F0"/>
    <w:rsid w:val="00ED0D64"/>
    <w:rsid w:val="00ED60A7"/>
    <w:rsid w:val="00EF74D5"/>
    <w:rsid w:val="00F246E9"/>
    <w:rsid w:val="00F254AE"/>
    <w:rsid w:val="00F30E2F"/>
    <w:rsid w:val="00F32339"/>
    <w:rsid w:val="00F65DDE"/>
    <w:rsid w:val="00F66852"/>
    <w:rsid w:val="00F67213"/>
    <w:rsid w:val="00F82CDF"/>
    <w:rsid w:val="00F91D73"/>
    <w:rsid w:val="00FA111D"/>
    <w:rsid w:val="00FB1EA8"/>
    <w:rsid w:val="00FC0FD5"/>
    <w:rsid w:val="6AEFAC3A"/>
    <w:rsid w:val="6B248EE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6E9EB"/>
  <w15:docId w15:val="{00B4B2AD-2F44-4791-99C0-216FD85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C33A72"/>
    <w:rPr>
      <w:rFonts w:eastAsia="Times New Roman"/>
      <w:lang w:val="en-GB" w:eastAsia="en-GB"/>
    </w:rPr>
  </w:style>
  <w:style w:type="paragraph" w:styleId="3">
    <w:name w:val="heading 3"/>
    <w:basedOn w:val="a"/>
    <w:next w:val="a"/>
    <w:link w:val="30"/>
    <w:semiHidden/>
    <w:unhideWhenUsed/>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semiHidden/>
    <w:pPr>
      <w:framePr w:w="7920" w:h="1980" w:hRule="exact" w:hSpace="180" w:wrap="auto" w:hAnchor="page" w:xAlign="center" w:yAlign="bottom"/>
      <w:ind w:left="2880"/>
    </w:pPr>
    <w:rPr>
      <w:rFonts w:ascii="Arial" w:hAnsi="Arial"/>
      <w:sz w:val="24"/>
    </w:rPr>
  </w:style>
  <w:style w:type="paragraph" w:styleId="a4">
    <w:name w:val="annotation text"/>
    <w:basedOn w:val="a"/>
    <w:link w:val="a5"/>
    <w:semiHidden/>
    <w:unhideWhenUsed/>
  </w:style>
  <w:style w:type="paragraph" w:styleId="a6">
    <w:name w:val="Body Text"/>
    <w:basedOn w:val="a"/>
    <w:semiHidden/>
    <w:qFormat/>
    <w:rPr>
      <w:rFonts w:ascii="PingFang SC" w:eastAsia="PingFang SC" w:hAnsi="PingFang SC" w:cs="PingFang SC"/>
      <w:sz w:val="23"/>
      <w:szCs w:val="23"/>
      <w:lang w:val="en-US" w:eastAsia="en-US"/>
    </w:rPr>
  </w:style>
  <w:style w:type="paragraph" w:styleId="a7">
    <w:name w:val="Balloon Text"/>
    <w:basedOn w:val="a"/>
    <w:link w:val="a8"/>
    <w:rPr>
      <w:rFonts w:ascii="Tahoma" w:hAnsi="Tahoma" w:cs="Tahoma"/>
      <w:sz w:val="16"/>
      <w:szCs w:val="16"/>
    </w:rPr>
  </w:style>
  <w:style w:type="paragraph" w:styleId="a9">
    <w:name w:val="footer"/>
    <w:basedOn w:val="a"/>
    <w:link w:val="aa"/>
    <w:uiPriority w:val="99"/>
    <w:pPr>
      <w:tabs>
        <w:tab w:val="center" w:pos="4680"/>
        <w:tab w:val="right" w:pos="9360"/>
      </w:tabs>
    </w:pPr>
  </w:style>
  <w:style w:type="paragraph" w:styleId="ab">
    <w:name w:val="header"/>
    <w:basedOn w:val="a"/>
    <w:link w:val="ac"/>
    <w:pPr>
      <w:tabs>
        <w:tab w:val="center" w:pos="4513"/>
        <w:tab w:val="right" w:pos="9026"/>
      </w:tabs>
    </w:pPr>
  </w:style>
  <w:style w:type="paragraph" w:styleId="ad">
    <w:name w:val="footnote text"/>
    <w:basedOn w:val="a"/>
    <w:link w:val="ae"/>
    <w:rPr>
      <w:sz w:val="16"/>
    </w:rPr>
  </w:style>
  <w:style w:type="paragraph" w:styleId="af">
    <w:name w:val="annotation subject"/>
    <w:basedOn w:val="a4"/>
    <w:next w:val="a4"/>
    <w:link w:val="af0"/>
    <w:semiHidden/>
    <w:unhideWhenUsed/>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nhideWhenUsed/>
    <w:rPr>
      <w:color w:val="0563C1"/>
      <w:u w:val="single"/>
    </w:rPr>
  </w:style>
  <w:style w:type="character" w:styleId="af3">
    <w:name w:val="annotation reference"/>
    <w:semiHidden/>
    <w:unhideWhenUsed/>
    <w:rPr>
      <w:sz w:val="16"/>
      <w:szCs w:val="16"/>
    </w:rPr>
  </w:style>
  <w:style w:type="character" w:styleId="af4">
    <w:name w:val="footnote reference"/>
    <w:rPr>
      <w:vertAlign w:val="superscript"/>
    </w:rPr>
  </w:style>
  <w:style w:type="paragraph" w:customStyle="1" w:styleId="Style1">
    <w:name w:val="Style1"/>
    <w:basedOn w:val="a"/>
    <w:semiHidden/>
    <w:rPr>
      <w:rFonts w:ascii="Arial" w:hAnsi="Arial" w:cs="Arial"/>
    </w:rPr>
  </w:style>
  <w:style w:type="paragraph" w:customStyle="1" w:styleId="Style2">
    <w:name w:val="Style2"/>
    <w:basedOn w:val="a"/>
    <w:autoRedefine/>
    <w:semiHidden/>
    <w:pPr>
      <w:numPr>
        <w:numId w:val="1"/>
      </w:numPr>
    </w:pPr>
    <w:rPr>
      <w:rFonts w:ascii="Arial" w:hAnsi="Arial" w:cs="Arial"/>
    </w:rPr>
  </w:style>
  <w:style w:type="paragraph" w:customStyle="1" w:styleId="1">
    <w:name w:val="标题1"/>
    <w:link w:val="Title"/>
    <w:qFormat/>
    <w:rsid w:val="000E25E0"/>
    <w:pPr>
      <w:spacing w:after="340"/>
    </w:pPr>
    <w:rPr>
      <w:rFonts w:eastAsia="Times New Roman"/>
      <w:b/>
      <w:color w:val="70AD47" w:themeColor="accent6"/>
      <w:sz w:val="41"/>
      <w:szCs w:val="41"/>
      <w:lang w:val="en-GB" w:eastAsia="en-GB"/>
    </w:rPr>
  </w:style>
  <w:style w:type="character" w:customStyle="1" w:styleId="Title">
    <w:name w:val="Title 字符"/>
    <w:link w:val="1"/>
    <w:rsid w:val="000E25E0"/>
    <w:rPr>
      <w:rFonts w:eastAsia="Times New Roman"/>
      <w:b/>
      <w:color w:val="70AD47" w:themeColor="accent6"/>
      <w:sz w:val="41"/>
      <w:szCs w:val="41"/>
      <w:lang w:val="en-GB" w:eastAsia="en-GB"/>
    </w:rPr>
  </w:style>
  <w:style w:type="paragraph" w:customStyle="1" w:styleId="Authorname">
    <w:name w:val="Author name"/>
    <w:qFormat/>
    <w:pPr>
      <w:spacing w:after="340"/>
    </w:pPr>
    <w:rPr>
      <w:rFonts w:eastAsia="Times New Roman"/>
      <w:sz w:val="24"/>
      <w:szCs w:val="24"/>
      <w:lang w:val="en-GB" w:eastAsia="en-GB"/>
    </w:rPr>
  </w:style>
  <w:style w:type="paragraph" w:customStyle="1" w:styleId="Address">
    <w:name w:val="Address"/>
    <w:basedOn w:val="1"/>
    <w:qFormat/>
    <w:pPr>
      <w:spacing w:after="0"/>
    </w:pPr>
    <w:rPr>
      <w:b w:val="0"/>
      <w:color w:val="auto"/>
      <w:sz w:val="20"/>
      <w:szCs w:val="20"/>
    </w:rPr>
  </w:style>
  <w:style w:type="paragraph" w:customStyle="1" w:styleId="Oddheader">
    <w:name w:val="Odd header"/>
    <w:basedOn w:val="ab"/>
    <w:link w:val="Oddheader0"/>
    <w:qFormat/>
    <w:rPr>
      <w:rFonts w:ascii="Arial" w:hAnsi="Arial" w:cs="Arial"/>
      <w:sz w:val="18"/>
      <w:szCs w:val="18"/>
    </w:rPr>
  </w:style>
  <w:style w:type="paragraph" w:customStyle="1" w:styleId="Abstractheading">
    <w:name w:val="Abstract heading"/>
    <w:link w:val="Abstractheading0"/>
    <w:qFormat/>
    <w:rsid w:val="00BF72B2"/>
    <w:pPr>
      <w:spacing w:before="539" w:after="170"/>
      <w:ind w:right="680"/>
      <w:jc w:val="both"/>
    </w:pPr>
    <w:rPr>
      <w:rFonts w:ascii="Arial" w:eastAsia="Times New Roman" w:hAnsi="Arial"/>
      <w:b/>
      <w:color w:val="538135" w:themeColor="accent6" w:themeShade="BF"/>
      <w:sz w:val="24"/>
      <w:szCs w:val="24"/>
      <w:lang w:val="en-GB" w:eastAsia="en-GB"/>
    </w:rPr>
  </w:style>
  <w:style w:type="paragraph" w:customStyle="1" w:styleId="EvenHeader">
    <w:name w:val="Even Header"/>
    <w:basedOn w:val="a"/>
    <w:link w:val="EvenHeader0"/>
    <w:qFormat/>
    <w:pPr>
      <w:jc w:val="right"/>
    </w:pPr>
    <w:rPr>
      <w:rFonts w:ascii="Arial" w:hAnsi="Arial" w:cs="Arial"/>
      <w:sz w:val="18"/>
      <w:szCs w:val="18"/>
    </w:rPr>
  </w:style>
  <w:style w:type="paragraph" w:customStyle="1" w:styleId="11">
    <w:name w:val="标题 11"/>
    <w:qFormat/>
    <w:rsid w:val="000E25E0"/>
    <w:pPr>
      <w:spacing w:before="400" w:after="200"/>
      <w:contextualSpacing/>
    </w:pPr>
    <w:rPr>
      <w:rFonts w:ascii="Arial" w:eastAsia="Times New Roman" w:hAnsi="Arial" w:cs="Arial"/>
      <w:b/>
      <w:bCs/>
      <w:color w:val="70AD47" w:themeColor="accent6"/>
      <w:sz w:val="24"/>
      <w:szCs w:val="24"/>
      <w:lang w:val="en-GB" w:eastAsia="en-GB"/>
    </w:rPr>
  </w:style>
  <w:style w:type="paragraph" w:customStyle="1" w:styleId="Bodytextnoindent">
    <w:name w:val="Body text no indent"/>
    <w:link w:val="Bodytextnoindent0"/>
    <w:qFormat/>
    <w:pPr>
      <w:contextualSpacing/>
      <w:jc w:val="both"/>
    </w:pPr>
    <w:rPr>
      <w:rFonts w:eastAsia="Times New Roman"/>
      <w:bCs/>
      <w:lang w:val="en-GB" w:eastAsia="en-GB"/>
    </w:rPr>
  </w:style>
  <w:style w:type="character" w:customStyle="1" w:styleId="Bodytextnoindent0">
    <w:name w:val="Body text no indent 字符"/>
    <w:link w:val="Bodytextnoindent"/>
    <w:rPr>
      <w:bCs/>
      <w:lang w:val="en-GB" w:eastAsia="en-GB" w:bidi="ar-SA"/>
    </w:rPr>
  </w:style>
  <w:style w:type="paragraph" w:customStyle="1" w:styleId="21">
    <w:name w:val="标题 21"/>
    <w:qFormat/>
    <w:rsid w:val="000E25E0"/>
    <w:pPr>
      <w:spacing w:before="340" w:after="227"/>
      <w:contextualSpacing/>
    </w:pPr>
    <w:rPr>
      <w:rFonts w:ascii="Arial" w:eastAsia="Times New Roman" w:hAnsi="Arial"/>
      <w:color w:val="70AD47" w:themeColor="accent6"/>
      <w:sz w:val="24"/>
      <w:szCs w:val="24"/>
      <w:lang w:val="en-GB" w:eastAsia="en-GB"/>
    </w:rPr>
  </w:style>
  <w:style w:type="character" w:customStyle="1" w:styleId="Oddheader0">
    <w:name w:val="Odd header 字符"/>
    <w:link w:val="Oddheader"/>
    <w:rPr>
      <w:rFonts w:ascii="Arial" w:hAnsi="Arial" w:cs="Arial"/>
      <w:sz w:val="18"/>
      <w:szCs w:val="18"/>
      <w:lang w:eastAsia="en-GB"/>
    </w:rPr>
  </w:style>
  <w:style w:type="paragraph" w:customStyle="1" w:styleId="Captions">
    <w:name w:val="Captions"/>
    <w:basedOn w:val="Bodytextnoindent"/>
    <w:link w:val="Captions0"/>
    <w:qFormat/>
    <w:pPr>
      <w:spacing w:before="454" w:after="454"/>
      <w:jc w:val="center"/>
    </w:pPr>
    <w:rPr>
      <w:rFonts w:ascii="Arial" w:hAnsi="Arial" w:cs="Arial"/>
    </w:rPr>
  </w:style>
  <w:style w:type="character" w:customStyle="1" w:styleId="Captions0">
    <w:name w:val="Captions 字符"/>
    <w:link w:val="Captions"/>
    <w:rPr>
      <w:rFonts w:ascii="Arial" w:hAnsi="Arial" w:cs="Arial"/>
      <w:bCs/>
      <w:lang w:val="en-GB" w:eastAsia="en-GB" w:bidi="ar-SA"/>
    </w:rPr>
  </w:style>
  <w:style w:type="paragraph" w:customStyle="1" w:styleId="Equations">
    <w:name w:val="Equations"/>
    <w:basedOn w:val="Bodytextnoindent"/>
    <w:pPr>
      <w:jc w:val="right"/>
    </w:pPr>
    <w:rPr>
      <w:bCs w:val="0"/>
    </w:rPr>
  </w:style>
  <w:style w:type="paragraph" w:customStyle="1" w:styleId="Style3">
    <w:name w:val="Style3"/>
    <w:basedOn w:val="a"/>
    <w:semiHidden/>
    <w:pPr>
      <w:tabs>
        <w:tab w:val="left" w:pos="947"/>
      </w:tabs>
      <w:ind w:left="947" w:hanging="360"/>
    </w:pPr>
  </w:style>
  <w:style w:type="character" w:customStyle="1" w:styleId="EvenHeader0">
    <w:name w:val="Even Header 字符"/>
    <w:link w:val="EvenHeader"/>
    <w:rPr>
      <w:rFonts w:ascii="Arial" w:hAnsi="Arial" w:cs="Arial"/>
      <w:i/>
      <w:sz w:val="18"/>
      <w:szCs w:val="18"/>
      <w:lang w:eastAsia="en-GB"/>
    </w:rPr>
  </w:style>
  <w:style w:type="paragraph" w:customStyle="1" w:styleId="References">
    <w:name w:val="References"/>
    <w:qFormat/>
    <w:pPr>
      <w:numPr>
        <w:numId w:val="2"/>
      </w:numPr>
      <w:ind w:left="400" w:hanging="400"/>
      <w:jc w:val="both"/>
    </w:pPr>
    <w:rPr>
      <w:rFonts w:eastAsia="Times New Roman"/>
      <w:bCs/>
      <w:sz w:val="18"/>
      <w:szCs w:val="18"/>
      <w:lang w:val="en-GB" w:eastAsia="en-GB"/>
    </w:rPr>
  </w:style>
  <w:style w:type="character" w:customStyle="1" w:styleId="a8">
    <w:name w:val="批注框文本 字符"/>
    <w:link w:val="a7"/>
    <w:rPr>
      <w:rFonts w:ascii="Tahoma" w:hAnsi="Tahoma" w:cs="Tahoma"/>
      <w:sz w:val="16"/>
      <w:szCs w:val="16"/>
      <w:lang w:eastAsia="en-GB"/>
    </w:rPr>
  </w:style>
  <w:style w:type="paragraph" w:customStyle="1" w:styleId="Introduction">
    <w:name w:val="Introduction"/>
    <w:basedOn w:val="11"/>
    <w:qFormat/>
    <w:pPr>
      <w:spacing w:before="340" w:after="227"/>
    </w:pPr>
  </w:style>
  <w:style w:type="paragraph" w:customStyle="1" w:styleId="Tabletext">
    <w:name w:val="Table text"/>
    <w:basedOn w:val="a"/>
    <w:qFormat/>
    <w:rPr>
      <w:rFonts w:ascii="Arial" w:hAnsi="Arial" w:cs="Arial"/>
      <w:bCs/>
      <w:sz w:val="18"/>
      <w:szCs w:val="18"/>
    </w:rPr>
  </w:style>
  <w:style w:type="paragraph" w:customStyle="1" w:styleId="Listnumbered">
    <w:name w:val="List (numbered)"/>
    <w:basedOn w:val="a"/>
    <w:link w:val="Listnumbered0"/>
    <w:qFormat/>
    <w:pPr>
      <w:numPr>
        <w:numId w:val="3"/>
      </w:numPr>
      <w:spacing w:before="200" w:after="200"/>
      <w:ind w:left="397" w:hanging="170"/>
      <w:contextualSpacing/>
      <w:jc w:val="both"/>
    </w:pPr>
    <w:rPr>
      <w:bCs/>
      <w:szCs w:val="25"/>
    </w:rPr>
  </w:style>
  <w:style w:type="character" w:customStyle="1" w:styleId="Listnumbered0">
    <w:name w:val="List (numbered) 字符"/>
    <w:link w:val="Listnumbered"/>
    <w:rPr>
      <w:rFonts w:ascii="Arial" w:hAnsi="Arial" w:cs="Arial"/>
      <w:bCs/>
      <w:szCs w:val="25"/>
      <w:lang w:eastAsia="en-GB"/>
    </w:rPr>
  </w:style>
  <w:style w:type="character" w:customStyle="1" w:styleId="ewic-ListnumberedChar">
    <w:name w:val="ewic-List (numbered) Char"/>
    <w:rPr>
      <w:rFonts w:ascii="Arial" w:hAnsi="Arial" w:cs="Arial"/>
      <w:bCs/>
      <w:szCs w:val="25"/>
      <w:lang w:eastAsia="en-GB"/>
    </w:rPr>
  </w:style>
  <w:style w:type="character" w:customStyle="1" w:styleId="ac">
    <w:name w:val="页眉 字符"/>
    <w:link w:val="ab"/>
    <w:rPr>
      <w:lang w:eastAsia="en-GB"/>
    </w:rPr>
  </w:style>
  <w:style w:type="character" w:customStyle="1" w:styleId="ae">
    <w:name w:val="脚注文本 字符"/>
    <w:link w:val="ad"/>
    <w:rPr>
      <w:sz w:val="16"/>
      <w:lang w:val="en-GB" w:eastAsia="en-GB"/>
    </w:rPr>
  </w:style>
  <w:style w:type="character" w:customStyle="1" w:styleId="aa">
    <w:name w:val="页脚 字符"/>
    <w:link w:val="a9"/>
    <w:uiPriority w:val="99"/>
    <w:rPr>
      <w:lang w:eastAsia="en-GB"/>
    </w:rPr>
  </w:style>
  <w:style w:type="paragraph" w:customStyle="1" w:styleId="Bodytextwithindent">
    <w:name w:val="Body text with indent"/>
    <w:basedOn w:val="Bodytextnoindent"/>
    <w:link w:val="Bodytextwithindent0"/>
    <w:qFormat/>
    <w:pPr>
      <w:ind w:firstLine="227"/>
    </w:pPr>
  </w:style>
  <w:style w:type="paragraph" w:customStyle="1" w:styleId="Acknowlegementtext">
    <w:name w:val="Acknowlegement text"/>
    <w:basedOn w:val="Bodytextnoindent"/>
    <w:link w:val="Acknowlegementtext0"/>
    <w:qFormat/>
    <w:rPr>
      <w:sz w:val="18"/>
      <w:szCs w:val="18"/>
    </w:rPr>
  </w:style>
  <w:style w:type="character" w:customStyle="1" w:styleId="Bodytextwithindent0">
    <w:name w:val="Body text with indent 字符"/>
    <w:link w:val="Bodytextwithindent"/>
    <w:rPr>
      <w:bCs/>
      <w:lang w:val="en-GB" w:eastAsia="en-GB" w:bidi="ar-SA"/>
    </w:rPr>
  </w:style>
  <w:style w:type="paragraph" w:customStyle="1" w:styleId="Acknowledgementheading">
    <w:name w:val="Acknowledgement heading"/>
    <w:basedOn w:val="Acknowlegementtext"/>
    <w:link w:val="Acknowledgementheading0"/>
    <w:qFormat/>
    <w:rsid w:val="000E25E0"/>
    <w:pPr>
      <w:spacing w:before="340"/>
    </w:pPr>
    <w:rPr>
      <w:rFonts w:ascii="Arial" w:hAnsi="Arial" w:cs="Arial"/>
      <w:b/>
      <w:color w:val="70AD47" w:themeColor="accent6"/>
      <w:sz w:val="20"/>
    </w:rPr>
  </w:style>
  <w:style w:type="character" w:customStyle="1" w:styleId="Acknowlegementtext0">
    <w:name w:val="Acknowlegement text 字符"/>
    <w:link w:val="Acknowlegementtext"/>
    <w:rPr>
      <w:bCs/>
      <w:sz w:val="18"/>
      <w:szCs w:val="18"/>
      <w:lang w:val="en-GB" w:eastAsia="en-GB" w:bidi="ar-SA"/>
    </w:rPr>
  </w:style>
  <w:style w:type="paragraph" w:customStyle="1" w:styleId="abstracttext">
    <w:name w:val="abstract text"/>
    <w:basedOn w:val="Abstractheading"/>
    <w:link w:val="abstracttext0"/>
    <w:qFormat/>
    <w:rsid w:val="00BF72B2"/>
    <w:pPr>
      <w:shd w:val="clear" w:color="auto" w:fill="538135" w:themeFill="accent6" w:themeFillShade="BF"/>
      <w:tabs>
        <w:tab w:val="left" w:pos="720"/>
        <w:tab w:val="left" w:pos="8030"/>
      </w:tabs>
      <w:spacing w:before="0" w:after="0"/>
      <w:ind w:left="227" w:right="0" w:firstLineChars="200" w:firstLine="400"/>
    </w:pPr>
    <w:rPr>
      <w:rFonts w:ascii="Times New Roman" w:hAnsi="Times New Roman"/>
      <w:b w:val="0"/>
      <w:color w:val="FFFFFF" w:themeColor="background1"/>
      <w:sz w:val="20"/>
      <w:szCs w:val="20"/>
    </w:rPr>
  </w:style>
  <w:style w:type="character" w:customStyle="1" w:styleId="Acknowledgementheading0">
    <w:name w:val="Acknowledgement heading 字符"/>
    <w:link w:val="Acknowledgementheading"/>
    <w:rsid w:val="000E25E0"/>
    <w:rPr>
      <w:rFonts w:ascii="Arial" w:eastAsia="Times New Roman" w:hAnsi="Arial" w:cs="Arial"/>
      <w:b/>
      <w:bCs/>
      <w:color w:val="70AD47" w:themeColor="accent6"/>
      <w:szCs w:val="18"/>
      <w:lang w:val="en-GB" w:eastAsia="en-GB"/>
    </w:rPr>
  </w:style>
  <w:style w:type="paragraph" w:customStyle="1" w:styleId="31">
    <w:name w:val="标题 31"/>
    <w:basedOn w:val="Acknowledgementheading"/>
    <w:next w:val="3"/>
    <w:link w:val="Heading3"/>
    <w:qFormat/>
    <w:pPr>
      <w:spacing w:before="227"/>
    </w:pPr>
    <w:rPr>
      <w:szCs w:val="20"/>
    </w:rPr>
  </w:style>
  <w:style w:type="character" w:customStyle="1" w:styleId="Abstractheading0">
    <w:name w:val="Abstract heading 字符"/>
    <w:link w:val="Abstractheading"/>
    <w:rsid w:val="00BF72B2"/>
    <w:rPr>
      <w:rFonts w:ascii="Arial" w:eastAsia="Times New Roman" w:hAnsi="Arial"/>
      <w:b/>
      <w:color w:val="538135" w:themeColor="accent6" w:themeShade="BF"/>
      <w:sz w:val="24"/>
      <w:szCs w:val="24"/>
      <w:lang w:val="en-GB" w:eastAsia="en-GB"/>
    </w:rPr>
  </w:style>
  <w:style w:type="character" w:customStyle="1" w:styleId="abstracttext0">
    <w:name w:val="abstract text 字符"/>
    <w:link w:val="abstracttext"/>
    <w:rsid w:val="00BF72B2"/>
    <w:rPr>
      <w:rFonts w:eastAsia="Times New Roman"/>
      <w:color w:val="FFFFFF" w:themeColor="background1"/>
      <w:shd w:val="clear" w:color="auto" w:fill="538135" w:themeFill="accent6" w:themeFillShade="BF"/>
      <w:lang w:val="en-GB" w:eastAsia="en-GB"/>
    </w:rPr>
  </w:style>
  <w:style w:type="paragraph" w:customStyle="1" w:styleId="Bulletedlist">
    <w:name w:val="Bulleted list"/>
    <w:basedOn w:val="Listnumbered"/>
    <w:link w:val="Bulletedlist0"/>
    <w:qFormat/>
    <w:pPr>
      <w:numPr>
        <w:numId w:val="4"/>
      </w:numPr>
      <w:ind w:left="397" w:hanging="170"/>
    </w:pPr>
  </w:style>
  <w:style w:type="character" w:customStyle="1" w:styleId="Heading3">
    <w:name w:val="Heading 3 字符"/>
    <w:link w:val="31"/>
    <w:rPr>
      <w:rFonts w:ascii="Arial" w:hAnsi="Arial" w:cs="Arial"/>
      <w:b/>
      <w:color w:val="1777A5"/>
      <w:sz w:val="18"/>
      <w:szCs w:val="18"/>
      <w:lang w:val="en-GB" w:eastAsia="en-GB" w:bidi="ar-SA"/>
    </w:rPr>
  </w:style>
  <w:style w:type="paragraph" w:customStyle="1" w:styleId="Keywords">
    <w:name w:val="Keywords"/>
    <w:basedOn w:val="a"/>
    <w:link w:val="Keywords0"/>
    <w:uiPriority w:val="99"/>
    <w:qFormat/>
    <w:pPr>
      <w:spacing w:before="227" w:after="190"/>
      <w:ind w:left="227"/>
      <w:jc w:val="both"/>
    </w:pPr>
    <w:rPr>
      <w:sz w:val="18"/>
      <w:szCs w:val="48"/>
    </w:rPr>
  </w:style>
  <w:style w:type="character" w:customStyle="1" w:styleId="Bulletedlist0">
    <w:name w:val="Bulleted list 字符"/>
    <w:link w:val="Bulletedlist"/>
    <w:rPr>
      <w:rFonts w:ascii="Arial" w:hAnsi="Arial" w:cs="Arial"/>
      <w:bCs/>
      <w:szCs w:val="25"/>
      <w:lang w:eastAsia="en-GB"/>
    </w:rPr>
  </w:style>
  <w:style w:type="paragraph" w:customStyle="1" w:styleId="Footnotetext">
    <w:name w:val="Footnote text"/>
    <w:basedOn w:val="ad"/>
    <w:link w:val="Footnotetext0"/>
    <w:rPr>
      <w:szCs w:val="16"/>
    </w:rPr>
  </w:style>
  <w:style w:type="character" w:customStyle="1" w:styleId="Footnotetext0">
    <w:name w:val="Footnote text 字符"/>
    <w:link w:val="Footnotetext"/>
    <w:rPr>
      <w:sz w:val="16"/>
      <w:szCs w:val="16"/>
      <w:lang w:eastAsia="en-GB"/>
    </w:rPr>
  </w:style>
  <w:style w:type="character" w:customStyle="1" w:styleId="Keywords0">
    <w:name w:val="Keywords 字符"/>
    <w:link w:val="Keywords"/>
    <w:uiPriority w:val="99"/>
    <w:rPr>
      <w:rFonts w:ascii="Arial" w:hAnsi="Arial"/>
      <w:i/>
      <w:sz w:val="18"/>
      <w:szCs w:val="48"/>
      <w:lang w:eastAsia="en-GB"/>
    </w:rPr>
  </w:style>
  <w:style w:type="character" w:customStyle="1" w:styleId="30">
    <w:name w:val="标题 3 字符"/>
    <w:link w:val="3"/>
    <w:semiHidden/>
    <w:rPr>
      <w:rFonts w:ascii="Cambria" w:eastAsia="Times New Roman" w:hAnsi="Cambria" w:cs="Times New Roman"/>
      <w:b/>
      <w:bCs/>
      <w:color w:val="4F81BD"/>
      <w:lang w:eastAsia="en-GB"/>
    </w:rPr>
  </w:style>
  <w:style w:type="character" w:customStyle="1" w:styleId="10">
    <w:name w:val="未处理的提及1"/>
    <w:uiPriority w:val="99"/>
    <w:semiHidden/>
    <w:unhideWhenUsed/>
    <w:rPr>
      <w:color w:val="605E5C"/>
      <w:shd w:val="clear" w:color="auto" w:fill="E1DFDD"/>
    </w:rPr>
  </w:style>
  <w:style w:type="character" w:customStyle="1" w:styleId="a5">
    <w:name w:val="批注文字 字符"/>
    <w:link w:val="a4"/>
    <w:semiHidden/>
    <w:rPr>
      <w:lang w:val="en-GB" w:eastAsia="en-GB"/>
    </w:rPr>
  </w:style>
  <w:style w:type="character" w:customStyle="1" w:styleId="af0">
    <w:name w:val="批注主题 字符"/>
    <w:link w:val="af"/>
    <w:semiHidden/>
    <w:rPr>
      <w:b/>
      <w:bCs/>
      <w:lang w:val="en-GB" w:eastAsia="en-GB"/>
    </w:rPr>
  </w:style>
  <w:style w:type="paragraph" w:customStyle="1" w:styleId="TableText0">
    <w:name w:val="Table Text"/>
    <w:basedOn w:val="a"/>
    <w:semiHidden/>
    <w:qFormat/>
    <w:rPr>
      <w:rFonts w:ascii="PingFang SC" w:eastAsia="PingFang SC" w:hAnsi="PingFang SC" w:cs="PingFang SC"/>
      <w:sz w:val="21"/>
      <w:szCs w:val="21"/>
      <w:lang w:val="en-US"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5">
    <w:name w:val="Revision"/>
    <w:hidden/>
    <w:uiPriority w:val="99"/>
    <w:unhideWhenUsed/>
    <w:rsid w:val="000E25E0"/>
    <w:rPr>
      <w:rFonts w:eastAsia="Times New Roman"/>
      <w:lang w:val="en-GB" w:eastAsia="en-GB"/>
    </w:rPr>
  </w:style>
  <w:style w:type="character" w:styleId="af6">
    <w:name w:val="Unresolved Mention"/>
    <w:basedOn w:val="a0"/>
    <w:uiPriority w:val="99"/>
    <w:semiHidden/>
    <w:unhideWhenUsed/>
    <w:rsid w:val="00F65DDE"/>
    <w:rPr>
      <w:color w:val="605E5C"/>
      <w:shd w:val="clear" w:color="auto" w:fill="E1DFDD"/>
    </w:rPr>
  </w:style>
  <w:style w:type="paragraph" w:styleId="HTML">
    <w:name w:val="HTML Preformatted"/>
    <w:basedOn w:val="a"/>
    <w:link w:val="HTML0"/>
    <w:semiHidden/>
    <w:unhideWhenUsed/>
    <w:rsid w:val="00C33A72"/>
    <w:rPr>
      <w:rFonts w:ascii="Courier New" w:hAnsi="Courier New" w:cs="Courier New"/>
    </w:rPr>
  </w:style>
  <w:style w:type="character" w:customStyle="1" w:styleId="HTML0">
    <w:name w:val="HTML 预设格式 字符"/>
    <w:basedOn w:val="a0"/>
    <w:link w:val="HTML"/>
    <w:semiHidden/>
    <w:rsid w:val="00C33A72"/>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doi.org/10.17759/cpse.2022110208" TargetMode="External"/><Relationship Id="rId39" Type="http://schemas.openxmlformats.org/officeDocument/2006/relationships/footer" Target="footer5.xml"/><Relationship Id="rId21" Type="http://schemas.openxmlformats.org/officeDocument/2006/relationships/hyperlink" Target="https://doi.org/10.4103/2249-4863.201153" TargetMode="External"/><Relationship Id="rId34" Type="http://schemas.openxmlformats.org/officeDocument/2006/relationships/hyperlink" Target="https://doi.org/10.3389/fpubh.2017.002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s://doi.org/10.17759/cpse.202211020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186/s13643-019-1163-9" TargetMode="External"/><Relationship Id="rId32" Type="http://schemas.openxmlformats.org/officeDocument/2006/relationships/hyperlink" Target="https://doi.org/10.3390/app13179921."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5664/jcsm.6470" TargetMode="External"/><Relationship Id="rId28" Type="http://schemas.openxmlformats.org/officeDocument/2006/relationships/hyperlink" Target="https://doi.org/10.3389/fpsyt.2024.1386529" TargetMode="External"/><Relationship Id="rId36" Type="http://schemas.openxmlformats.org/officeDocument/2006/relationships/hyperlink" Target="https://doi.org/10.1016/j.smrv.2009.05.002"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doi.org/10.1016/j.smrv.2018.10.006" TargetMode="External"/><Relationship Id="rId4" Type="http://schemas.openxmlformats.org/officeDocument/2006/relationships/styles" Target="styles.xml"/><Relationship Id="rId9" Type="http://schemas.openxmlformats.org/officeDocument/2006/relationships/hyperlink" Target="https://creativecommons.org/licenses/by-nc-sa/4.0/" TargetMode="External"/><Relationship Id="rId14" Type="http://schemas.openxmlformats.org/officeDocument/2006/relationships/header" Target="header3.xml"/><Relationship Id="rId22" Type="http://schemas.openxmlformats.org/officeDocument/2006/relationships/hyperlink" Target="https://doi.org/10.1007/s11920-013-0418-8" TargetMode="External"/><Relationship Id="rId27" Type="http://schemas.openxmlformats.org/officeDocument/2006/relationships/hyperlink" Target="https://doi.org/10.1016/j.smrv.2022.101643" TargetMode="External"/><Relationship Id="rId30" Type="http://schemas.openxmlformats.org/officeDocument/2006/relationships/hyperlink" Target="https://doi.org/10.1038/s41746-025-01514-4." TargetMode="External"/><Relationship Id="rId35" Type="http://schemas.openxmlformats.org/officeDocument/2006/relationships/hyperlink" Target="https://doi.org/10.3389/fnins.2024.145016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doi.org/10.7326/M15-217" TargetMode="External"/><Relationship Id="rId33" Type="http://schemas.openxmlformats.org/officeDocument/2006/relationships/hyperlink" Target="https://doi.org/10.3233/FAIA240041" TargetMode="External"/><Relationship Id="rId38" Type="http://schemas.openxmlformats.org/officeDocument/2006/relationships/header" Target="header6.xml"/></Relationships>
</file>

<file path=word/_rels/footer5.xml.rels><?xml version="1.0" encoding="UTF-8" standalone="yes"?>
<Relationships xmlns="http://schemas.openxmlformats.org/package/2006/relationships"><Relationship Id="rId1" Type="http://schemas.openxmlformats.org/officeDocument/2006/relationships/image" Target="media/image5.wmf"/></Relationships>
</file>

<file path=word/_rels/footnotes.xml.rels><?xml version="1.0" encoding="UTF-8" standalone="yes"?>
<Relationships xmlns="http://schemas.openxmlformats.org/package/2006/relationships"><Relationship Id="rId1" Type="http://schemas.openxmlformats.org/officeDocument/2006/relationships/hyperlink" Target="mailto:prim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48A61-13D4-4B25-ABD8-15588491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4516</Words>
  <Characters>25743</Characters>
  <Application>Microsoft Office Word</Application>
  <DocSecurity>0</DocSecurity>
  <Lines>214</Lines>
  <Paragraphs>60</Paragraphs>
  <ScaleCrop>false</ScaleCrop>
  <Company>The British Computer Society</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creator>erika</dc:creator>
  <cp:lastModifiedBy>281782824@qq.com</cp:lastModifiedBy>
  <cp:revision>9</cp:revision>
  <cp:lastPrinted>1901-01-01T14:00:00Z</cp:lastPrinted>
  <dcterms:created xsi:type="dcterms:W3CDTF">2022-08-24T00:47:00Z</dcterms:created>
  <dcterms:modified xsi:type="dcterms:W3CDTF">2025-11-29T22:05:00Z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2AF542D22F8CA183E2521869A4B38E6F_43</vt:lpwstr>
  </property>
</Properties>
</file>